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center" w:tblpY="1411"/>
        <w:tblW w:w="6249"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1E0" w:firstRow="1" w:lastRow="1" w:firstColumn="1" w:lastColumn="1" w:noHBand="0" w:noVBand="0"/>
      </w:tblPr>
      <w:tblGrid>
        <w:gridCol w:w="10995"/>
        <w:gridCol w:w="13"/>
      </w:tblGrid>
      <w:tr w:rsidR="00392BD5" w:rsidRPr="007F2B6C" w14:paraId="31D4BBF0" w14:textId="77777777" w:rsidTr="00581ADE">
        <w:trPr>
          <w:gridAfter w:val="1"/>
          <w:wAfter w:w="6" w:type="pct"/>
          <w:trHeight w:val="322"/>
        </w:trPr>
        <w:tc>
          <w:tcPr>
            <w:tcW w:w="4994" w:type="pct"/>
            <w:tcBorders>
              <w:bottom w:val="single" w:sz="8" w:space="0" w:color="000000" w:themeColor="text1"/>
            </w:tcBorders>
          </w:tcPr>
          <w:p w14:paraId="6DE97FB2" w14:textId="77777777" w:rsidR="000E3478" w:rsidRPr="007F2B6C" w:rsidRDefault="000E3478" w:rsidP="0096478A">
            <w:pPr>
              <w:pStyle w:val="TableParagraph"/>
              <w:ind w:left="1658" w:right="1693"/>
              <w:jc w:val="center"/>
              <w:rPr>
                <w:rFonts w:ascii="Arial Narrow" w:hAnsi="Arial Narrow"/>
                <w:b/>
                <w:color w:val="000000" w:themeColor="text1"/>
                <w:lang w:val="es-CO"/>
              </w:rPr>
            </w:pPr>
            <w:r w:rsidRPr="007F2B6C">
              <w:rPr>
                <w:rFonts w:ascii="Arial Narrow" w:hAnsi="Arial Narrow"/>
                <w:b/>
                <w:color w:val="000000" w:themeColor="text1"/>
                <w:lang w:val="es-CO"/>
              </w:rPr>
              <w:t>FICHA DE CONCILIACIÓN JUDICIAL Y PACTO DE CUMPLIMIENTO</w:t>
            </w:r>
          </w:p>
        </w:tc>
      </w:tr>
      <w:tr w:rsidR="00392BD5" w:rsidRPr="007F2B6C" w14:paraId="6ADD8121" w14:textId="77777777" w:rsidTr="00581ADE">
        <w:trPr>
          <w:gridAfter w:val="1"/>
          <w:wAfter w:w="6" w:type="pct"/>
          <w:trHeight w:val="462"/>
        </w:trPr>
        <w:tc>
          <w:tcPr>
            <w:tcW w:w="4994" w:type="pct"/>
            <w:tcBorders>
              <w:top w:val="single" w:sz="8" w:space="0" w:color="000000" w:themeColor="text1"/>
              <w:bottom w:val="single" w:sz="18" w:space="0" w:color="000000" w:themeColor="text1"/>
            </w:tcBorders>
          </w:tcPr>
          <w:p w14:paraId="493AABCC" w14:textId="2EE13710" w:rsidR="000E3478" w:rsidRPr="007F2B6C" w:rsidRDefault="000E3478" w:rsidP="0096478A">
            <w:pPr>
              <w:pStyle w:val="TableParagraph"/>
              <w:tabs>
                <w:tab w:val="left" w:pos="1602"/>
                <w:tab w:val="left" w:pos="3189"/>
                <w:tab w:val="left" w:pos="5910"/>
              </w:tabs>
              <w:ind w:left="15"/>
              <w:rPr>
                <w:rFonts w:ascii="Arial Narrow" w:hAnsi="Arial Narrow"/>
                <w:color w:val="000000" w:themeColor="text1"/>
                <w:lang w:val="es-CO"/>
              </w:rPr>
            </w:pPr>
            <w:r w:rsidRPr="6D505201">
              <w:rPr>
                <w:rFonts w:ascii="Arial Narrow" w:hAnsi="Arial Narrow"/>
                <w:b/>
                <w:bCs/>
                <w:color w:val="000000" w:themeColor="text1"/>
                <w:lang w:val="es-CO"/>
              </w:rPr>
              <w:t>ID de Ficha:</w:t>
            </w:r>
            <w:r w:rsidR="373BF32D" w:rsidRPr="6D505201">
              <w:rPr>
                <w:rFonts w:ascii="Arial Narrow" w:hAnsi="Arial Narrow"/>
                <w:b/>
                <w:bCs/>
                <w:color w:val="000000" w:themeColor="text1"/>
                <w:lang w:val="es-CO"/>
              </w:rPr>
              <w:t xml:space="preserve"> </w:t>
            </w:r>
            <w:r>
              <w:tab/>
            </w:r>
            <w:r w:rsidR="00AD324C" w:rsidRPr="00A24F88">
              <w:rPr>
                <w:rFonts w:ascii="Arial Narrow" w:hAnsi="Arial Narrow"/>
                <w:b/>
                <w:bCs/>
                <w:color w:val="000000" w:themeColor="text1"/>
                <w:lang w:val="es-CO"/>
              </w:rPr>
              <w:t xml:space="preserve">                                                            </w:t>
            </w:r>
            <w:r w:rsidR="00A24F88">
              <w:rPr>
                <w:rFonts w:ascii="Arial Narrow" w:hAnsi="Arial Narrow"/>
                <w:b/>
                <w:bCs/>
                <w:color w:val="000000" w:themeColor="text1"/>
                <w:lang w:val="es-CO"/>
              </w:rPr>
              <w:t xml:space="preserve">            </w:t>
            </w:r>
            <w:r w:rsidR="00A24F88" w:rsidRPr="00A24F88">
              <w:rPr>
                <w:rFonts w:ascii="Arial Narrow" w:hAnsi="Arial Narrow"/>
                <w:b/>
                <w:bCs/>
                <w:color w:val="000000" w:themeColor="text1"/>
                <w:lang w:val="es-CO"/>
              </w:rPr>
              <w:t>R</w:t>
            </w:r>
            <w:r w:rsidR="007B143C" w:rsidRPr="6D505201">
              <w:rPr>
                <w:rFonts w:ascii="Arial Narrow" w:hAnsi="Arial Narrow"/>
                <w:b/>
                <w:bCs/>
                <w:color w:val="000000" w:themeColor="text1"/>
                <w:lang w:val="es-CO"/>
              </w:rPr>
              <w:t>esponsable</w:t>
            </w:r>
            <w:r w:rsidRPr="6D505201">
              <w:rPr>
                <w:rFonts w:ascii="Arial Narrow" w:hAnsi="Arial Narrow"/>
                <w:b/>
                <w:bCs/>
                <w:color w:val="000000" w:themeColor="text1"/>
                <w:lang w:val="es-CO"/>
              </w:rPr>
              <w:t xml:space="preserve"> de la ficha:</w:t>
            </w:r>
            <w:r w:rsidR="00AD324C" w:rsidRPr="6D505201">
              <w:rPr>
                <w:rFonts w:ascii="Arial Narrow" w:hAnsi="Arial Narrow"/>
                <w:b/>
                <w:bCs/>
                <w:color w:val="000000" w:themeColor="text1"/>
                <w:lang w:val="es-CO"/>
              </w:rPr>
              <w:t xml:space="preserve"> </w:t>
            </w:r>
            <w:r w:rsidR="00AD324C" w:rsidRPr="6D505201">
              <w:rPr>
                <w:rFonts w:ascii="Arial Narrow" w:hAnsi="Arial Narrow"/>
                <w:color w:val="000000" w:themeColor="text1"/>
                <w:lang w:val="es-CO"/>
              </w:rPr>
              <w:t xml:space="preserve"> </w:t>
            </w:r>
            <w:r w:rsidR="0055558B">
              <w:rPr>
                <w:rFonts w:ascii="Arial Narrow" w:hAnsi="Arial Narrow"/>
                <w:color w:val="000000" w:themeColor="text1"/>
                <w:lang w:val="es-CO"/>
              </w:rPr>
              <w:t>Paola Andrea Ruiz González</w:t>
            </w:r>
            <w:r w:rsidR="00884359" w:rsidRPr="6D505201">
              <w:rPr>
                <w:rFonts w:ascii="Arial Narrow" w:hAnsi="Arial Narrow"/>
                <w:color w:val="000000" w:themeColor="text1"/>
                <w:lang w:val="es-CO"/>
              </w:rPr>
              <w:t xml:space="preserve"> </w:t>
            </w:r>
          </w:p>
        </w:tc>
      </w:tr>
      <w:tr w:rsidR="00392BD5" w:rsidRPr="007F2B6C" w14:paraId="49A0DD11" w14:textId="77777777" w:rsidTr="00581ADE">
        <w:trPr>
          <w:gridAfter w:val="1"/>
          <w:wAfter w:w="6" w:type="pct"/>
          <w:trHeight w:val="319"/>
        </w:trPr>
        <w:tc>
          <w:tcPr>
            <w:tcW w:w="4994" w:type="pct"/>
            <w:tcBorders>
              <w:top w:val="single" w:sz="18" w:space="0" w:color="000000" w:themeColor="text1"/>
              <w:bottom w:val="single" w:sz="8" w:space="0" w:color="000000" w:themeColor="text1"/>
            </w:tcBorders>
          </w:tcPr>
          <w:p w14:paraId="4EAFCEE4" w14:textId="77777777" w:rsidR="000E3478" w:rsidRPr="007F2B6C" w:rsidRDefault="000E3478" w:rsidP="0096478A">
            <w:pPr>
              <w:pStyle w:val="TableParagraph"/>
              <w:ind w:left="1658" w:right="1692"/>
              <w:jc w:val="center"/>
              <w:rPr>
                <w:rFonts w:ascii="Arial Narrow" w:hAnsi="Arial Narrow"/>
                <w:b/>
                <w:color w:val="000000" w:themeColor="text1"/>
                <w:lang w:val="es-CO"/>
              </w:rPr>
            </w:pPr>
            <w:r w:rsidRPr="007F2B6C">
              <w:rPr>
                <w:rFonts w:ascii="Arial Narrow" w:hAnsi="Arial Narrow"/>
                <w:b/>
                <w:color w:val="000000" w:themeColor="text1"/>
                <w:lang w:val="es-CO"/>
              </w:rPr>
              <w:t>Datos del proceso</w:t>
            </w:r>
          </w:p>
        </w:tc>
      </w:tr>
      <w:tr w:rsidR="00392BD5" w:rsidRPr="007F2B6C" w14:paraId="679CA56C" w14:textId="77777777" w:rsidTr="00581ADE">
        <w:trPr>
          <w:gridAfter w:val="1"/>
          <w:wAfter w:w="6" w:type="pct"/>
          <w:trHeight w:val="4440"/>
        </w:trPr>
        <w:tc>
          <w:tcPr>
            <w:tcW w:w="4994" w:type="pct"/>
            <w:tcBorders>
              <w:top w:val="single" w:sz="8" w:space="0" w:color="000000" w:themeColor="text1"/>
              <w:bottom w:val="single" w:sz="18" w:space="0" w:color="000000" w:themeColor="text1"/>
            </w:tcBorders>
          </w:tcPr>
          <w:p w14:paraId="18CF0897" w14:textId="5278DE9D" w:rsidR="009D509B" w:rsidRPr="007F2B6C" w:rsidRDefault="009D509B" w:rsidP="0096478A">
            <w:pPr>
              <w:pStyle w:val="TableParagraph"/>
              <w:tabs>
                <w:tab w:val="left" w:pos="3666"/>
                <w:tab w:val="left" w:pos="6712"/>
                <w:tab w:val="left" w:pos="10072"/>
              </w:tabs>
              <w:ind w:left="304" w:right="704"/>
              <w:rPr>
                <w:rFonts w:ascii="Arial Narrow" w:hAnsi="Arial Narrow"/>
                <w:b/>
                <w:color w:val="000000" w:themeColor="text1"/>
                <w:lang w:val="es-CO"/>
              </w:rPr>
            </w:pPr>
            <w:r w:rsidRPr="007F2B6C">
              <w:rPr>
                <w:rFonts w:ascii="Arial Narrow" w:hAnsi="Arial Narrow"/>
                <w:b/>
                <w:color w:val="000000" w:themeColor="text1"/>
                <w:lang w:val="es-CO"/>
              </w:rPr>
              <w:t xml:space="preserve">Código único del proceso     </w:t>
            </w:r>
            <w:r w:rsidR="00333029" w:rsidRPr="007F2B6C">
              <w:rPr>
                <w:rFonts w:ascii="Arial Narrow" w:hAnsi="Arial Narrow"/>
                <w:b/>
                <w:color w:val="000000" w:themeColor="text1"/>
                <w:lang w:val="es-CO"/>
              </w:rPr>
              <w:t xml:space="preserve">                   </w:t>
            </w:r>
            <w:r w:rsidRPr="007F2B6C">
              <w:rPr>
                <w:rFonts w:ascii="Arial Narrow" w:hAnsi="Arial Narrow"/>
                <w:b/>
                <w:color w:val="000000" w:themeColor="text1"/>
                <w:lang w:val="es-CO"/>
              </w:rPr>
              <w:t>Fecha de los hechos</w:t>
            </w:r>
            <w:r w:rsidRPr="007F2B6C">
              <w:rPr>
                <w:rFonts w:ascii="Arial Narrow" w:hAnsi="Arial Narrow"/>
                <w:b/>
                <w:color w:val="000000" w:themeColor="text1"/>
                <w:lang w:val="es-CO"/>
              </w:rPr>
              <w:tab/>
            </w:r>
            <w:r w:rsidR="00C6356F" w:rsidRPr="007F2B6C">
              <w:rPr>
                <w:rFonts w:ascii="Arial Narrow" w:hAnsi="Arial Narrow"/>
                <w:b/>
                <w:color w:val="000000" w:themeColor="text1"/>
                <w:lang w:val="es-CO"/>
              </w:rPr>
              <w:t xml:space="preserve">  </w:t>
            </w:r>
            <w:r w:rsidRPr="007F2B6C">
              <w:rPr>
                <w:rFonts w:ascii="Arial Narrow" w:hAnsi="Arial Narrow"/>
                <w:b/>
                <w:color w:val="000000" w:themeColor="text1"/>
                <w:lang w:val="es-CO"/>
              </w:rPr>
              <w:t xml:space="preserve"> Tipo de acción o medio de control</w:t>
            </w:r>
            <w:r w:rsidR="00FD007C" w:rsidRPr="007F2B6C">
              <w:rPr>
                <w:rFonts w:ascii="Arial Narrow" w:hAnsi="Arial Narrow"/>
                <w:b/>
                <w:color w:val="000000" w:themeColor="text1"/>
                <w:lang w:val="es-CO"/>
              </w:rPr>
              <w:t xml:space="preserve">           </w:t>
            </w:r>
          </w:p>
          <w:p w14:paraId="598944DF" w14:textId="14084B00" w:rsidR="009D509B" w:rsidRPr="007F2B6C" w:rsidRDefault="002816F7" w:rsidP="002816F7">
            <w:pPr>
              <w:pStyle w:val="TableParagraph"/>
              <w:tabs>
                <w:tab w:val="left" w:pos="10072"/>
              </w:tabs>
              <w:ind w:right="704"/>
              <w:rPr>
                <w:rFonts w:ascii="Arial Narrow" w:eastAsia="Calibri" w:hAnsi="Arial Narrow"/>
                <w:bCs/>
                <w:color w:val="000000" w:themeColor="text1"/>
                <w:lang w:val="es-CO"/>
              </w:rPr>
            </w:pPr>
            <w:r>
              <w:rPr>
                <w:rFonts w:ascii="Arial Narrow" w:eastAsia="Calibri" w:hAnsi="Arial Narrow"/>
                <w:bCs/>
                <w:color w:val="000000" w:themeColor="text1"/>
              </w:rPr>
              <w:t xml:space="preserve">     </w:t>
            </w:r>
            <w:r w:rsidRPr="002816F7">
              <w:rPr>
                <w:rFonts w:ascii="Arial Narrow" w:eastAsia="Calibri" w:hAnsi="Arial Narrow"/>
                <w:bCs/>
                <w:color w:val="000000" w:themeColor="text1"/>
              </w:rPr>
              <w:t>25000234100020230063800</w:t>
            </w:r>
            <w:r w:rsidR="00FB4EED" w:rsidRPr="007F2B6C">
              <w:rPr>
                <w:rFonts w:ascii="Arial Narrow" w:eastAsia="Calibri" w:hAnsi="Arial Narrow"/>
                <w:bCs/>
                <w:color w:val="000000" w:themeColor="text1"/>
                <w:lang w:val="es-CO"/>
              </w:rPr>
              <w:t xml:space="preserve">                  </w:t>
            </w:r>
            <w:r w:rsidR="00D902E5" w:rsidRPr="007F2B6C">
              <w:rPr>
                <w:rFonts w:ascii="Arial Narrow" w:hAnsi="Arial Narrow"/>
              </w:rPr>
              <w:t xml:space="preserve"> </w:t>
            </w:r>
            <w:r w:rsidR="001A14B4">
              <w:rPr>
                <w:rFonts w:ascii="Arial Narrow" w:hAnsi="Arial Narrow"/>
              </w:rPr>
              <w:t xml:space="preserve">        </w:t>
            </w:r>
            <w:r w:rsidR="00536E00">
              <w:rPr>
                <w:rFonts w:ascii="Arial Narrow" w:hAnsi="Arial Narrow"/>
              </w:rPr>
              <w:t xml:space="preserve"> </w:t>
            </w:r>
            <w:r w:rsidR="001A14B4">
              <w:rPr>
                <w:rFonts w:ascii="Arial Narrow" w:hAnsi="Arial Narrow"/>
              </w:rPr>
              <w:t xml:space="preserve">  2</w:t>
            </w:r>
            <w:r w:rsidR="003907CA">
              <w:rPr>
                <w:rFonts w:ascii="Arial Narrow" w:hAnsi="Arial Narrow"/>
              </w:rPr>
              <w:t>5</w:t>
            </w:r>
            <w:r w:rsidR="001A14B4">
              <w:rPr>
                <w:rFonts w:ascii="Arial Narrow" w:hAnsi="Arial Narrow"/>
              </w:rPr>
              <w:t>/</w:t>
            </w:r>
            <w:r w:rsidR="003907CA">
              <w:rPr>
                <w:rFonts w:ascii="Arial Narrow" w:hAnsi="Arial Narrow"/>
              </w:rPr>
              <w:t>10</w:t>
            </w:r>
            <w:r w:rsidR="001A14B4">
              <w:rPr>
                <w:rFonts w:ascii="Arial Narrow" w:hAnsi="Arial Narrow"/>
              </w:rPr>
              <w:t>/</w:t>
            </w:r>
            <w:r w:rsidR="003532F0" w:rsidRPr="003532F0">
              <w:rPr>
                <w:rFonts w:ascii="Arial Narrow" w:hAnsi="Arial Narrow"/>
              </w:rPr>
              <w:t>202</w:t>
            </w:r>
            <w:r w:rsidR="003907CA">
              <w:rPr>
                <w:rFonts w:ascii="Arial Narrow" w:hAnsi="Arial Narrow"/>
              </w:rPr>
              <w:t>2</w:t>
            </w:r>
            <w:r w:rsidR="003532F0" w:rsidRPr="003532F0">
              <w:rPr>
                <w:rFonts w:ascii="Arial Narrow" w:hAnsi="Arial Narrow"/>
              </w:rPr>
              <w:t xml:space="preserve"> </w:t>
            </w:r>
            <w:r w:rsidR="003532F0">
              <w:rPr>
                <w:rFonts w:ascii="Arial Narrow" w:hAnsi="Arial Narrow"/>
              </w:rPr>
              <w:t xml:space="preserve">                           </w:t>
            </w:r>
            <w:r w:rsidR="001A14B4">
              <w:rPr>
                <w:rFonts w:ascii="Arial Narrow" w:hAnsi="Arial Narrow"/>
              </w:rPr>
              <w:t xml:space="preserve">      </w:t>
            </w:r>
            <w:r w:rsidR="00EB24A4">
              <w:rPr>
                <w:rFonts w:ascii="Arial Narrow" w:hAnsi="Arial Narrow"/>
              </w:rPr>
              <w:t xml:space="preserve"> Nulidad y restablecimiento del derecho</w:t>
            </w:r>
          </w:p>
          <w:p w14:paraId="02240BD0" w14:textId="3DA48A13" w:rsidR="009D509B" w:rsidRPr="007F2B6C" w:rsidRDefault="009D509B" w:rsidP="0096478A">
            <w:pPr>
              <w:pStyle w:val="TableParagraph"/>
              <w:tabs>
                <w:tab w:val="left" w:pos="10072"/>
              </w:tabs>
              <w:ind w:left="304" w:right="704"/>
              <w:rPr>
                <w:rFonts w:ascii="Arial Narrow" w:hAnsi="Arial Narrow"/>
                <w:color w:val="000000" w:themeColor="text1"/>
                <w:lang w:val="es-CO"/>
              </w:rPr>
            </w:pPr>
          </w:p>
          <w:p w14:paraId="3BE5D426" w14:textId="77777777" w:rsidR="009D509B" w:rsidRPr="007F2B6C" w:rsidRDefault="009D509B" w:rsidP="0096478A">
            <w:pPr>
              <w:pStyle w:val="TableParagraph"/>
              <w:tabs>
                <w:tab w:val="left" w:pos="10072"/>
              </w:tabs>
              <w:ind w:left="304" w:right="704"/>
              <w:rPr>
                <w:rFonts w:ascii="Arial Narrow" w:hAnsi="Arial Narrow"/>
                <w:color w:val="000000" w:themeColor="text1"/>
                <w:lang w:val="es-CO"/>
              </w:rPr>
            </w:pPr>
          </w:p>
          <w:p w14:paraId="661ADCD3" w14:textId="735555CA" w:rsidR="00EA3A1B" w:rsidRPr="0068607A" w:rsidRDefault="009D509B" w:rsidP="0068607A">
            <w:pPr>
              <w:pStyle w:val="TableParagraph"/>
              <w:tabs>
                <w:tab w:val="left" w:pos="10072"/>
              </w:tabs>
              <w:ind w:left="304" w:right="704"/>
              <w:rPr>
                <w:rFonts w:ascii="Arial Narrow" w:hAnsi="Arial Narrow"/>
                <w:bCs/>
                <w:color w:val="000000" w:themeColor="text1"/>
              </w:rPr>
            </w:pPr>
            <w:r w:rsidRPr="007F2B6C">
              <w:rPr>
                <w:rFonts w:ascii="Arial Narrow" w:hAnsi="Arial Narrow"/>
                <w:b/>
                <w:color w:val="000000" w:themeColor="text1"/>
                <w:lang w:val="es-CO"/>
              </w:rPr>
              <w:t>Despacho Actual</w:t>
            </w:r>
            <w:r w:rsidRPr="007F2B6C">
              <w:rPr>
                <w:rFonts w:ascii="Arial Narrow" w:hAnsi="Arial Narrow"/>
                <w:bCs/>
                <w:color w:val="000000" w:themeColor="text1"/>
                <w:lang w:val="es-CO"/>
              </w:rPr>
              <w:t xml:space="preserve">: </w:t>
            </w:r>
            <w:r w:rsidR="0068607A" w:rsidRPr="0068607A">
              <w:rPr>
                <w:rFonts w:ascii="Arial Narrow" w:hAnsi="Arial Narrow"/>
                <w:bCs/>
                <w:color w:val="000000" w:themeColor="text1"/>
              </w:rPr>
              <w:t>TRIBUNAL ADMINISTRATIVO DE CUNDINAMARCA</w:t>
            </w:r>
            <w:r w:rsidR="0068607A">
              <w:rPr>
                <w:rFonts w:ascii="Arial Narrow" w:hAnsi="Arial Narrow"/>
                <w:bCs/>
                <w:color w:val="000000" w:themeColor="text1"/>
              </w:rPr>
              <w:t xml:space="preserve"> - </w:t>
            </w:r>
            <w:r w:rsidR="0068607A" w:rsidRPr="0068607A">
              <w:rPr>
                <w:rFonts w:ascii="Arial Narrow" w:hAnsi="Arial Narrow"/>
                <w:bCs/>
                <w:color w:val="000000" w:themeColor="text1"/>
              </w:rPr>
              <w:t>SECCIÓN PRIMERA - SUBSECCIÓN C</w:t>
            </w:r>
          </w:p>
          <w:p w14:paraId="3699F5D0" w14:textId="77777777" w:rsidR="00954430" w:rsidRPr="007F2B6C" w:rsidRDefault="00954430" w:rsidP="0096478A">
            <w:pPr>
              <w:pStyle w:val="TableParagraph"/>
              <w:tabs>
                <w:tab w:val="left" w:pos="10072"/>
              </w:tabs>
              <w:ind w:left="304" w:right="704"/>
              <w:rPr>
                <w:rFonts w:ascii="Arial Narrow" w:hAnsi="Arial Narrow"/>
                <w:b/>
                <w:color w:val="000000" w:themeColor="text1"/>
                <w:lang w:val="es-CO"/>
              </w:rPr>
            </w:pPr>
          </w:p>
          <w:p w14:paraId="61797F53" w14:textId="1CC3E135" w:rsidR="009D509B" w:rsidRPr="007F2B6C" w:rsidRDefault="009D509B" w:rsidP="0096478A">
            <w:pPr>
              <w:pStyle w:val="TableParagraph"/>
              <w:tabs>
                <w:tab w:val="left" w:pos="10072"/>
              </w:tabs>
              <w:ind w:left="304" w:right="704"/>
              <w:rPr>
                <w:rFonts w:ascii="Arial Narrow" w:hAnsi="Arial Narrow"/>
                <w:b/>
                <w:color w:val="000000" w:themeColor="text1"/>
                <w:lang w:val="es-CO"/>
              </w:rPr>
            </w:pPr>
            <w:r w:rsidRPr="007F2B6C">
              <w:rPr>
                <w:rFonts w:ascii="Arial Narrow" w:hAnsi="Arial Narrow"/>
                <w:b/>
                <w:color w:val="000000" w:themeColor="text1"/>
                <w:lang w:val="es-CO"/>
              </w:rPr>
              <w:t>Partes:</w:t>
            </w:r>
          </w:p>
          <w:p w14:paraId="21A366E7" w14:textId="77777777" w:rsidR="00954430" w:rsidRPr="007F2B6C" w:rsidRDefault="00954430" w:rsidP="0096478A">
            <w:pPr>
              <w:pStyle w:val="TableParagraph"/>
              <w:tabs>
                <w:tab w:val="left" w:pos="10072"/>
              </w:tabs>
              <w:ind w:left="304" w:right="704"/>
              <w:rPr>
                <w:rFonts w:ascii="Arial Narrow" w:hAnsi="Arial Narrow"/>
                <w:b/>
                <w:color w:val="000000" w:themeColor="text1"/>
                <w:lang w:val="es-CO"/>
              </w:rPr>
            </w:pPr>
          </w:p>
          <w:p w14:paraId="0D168A97" w14:textId="3953585A" w:rsidR="009D509B" w:rsidRPr="003D6EEF" w:rsidRDefault="005A5D7E" w:rsidP="00F33B07">
            <w:pPr>
              <w:pStyle w:val="TableParagraph"/>
              <w:tabs>
                <w:tab w:val="left" w:pos="10072"/>
              </w:tabs>
              <w:ind w:left="1723" w:right="704" w:hanging="1419"/>
              <w:rPr>
                <w:rFonts w:ascii="Arial Narrow" w:hAnsi="Arial Narrow"/>
                <w:color w:val="000000" w:themeColor="text1"/>
                <w:lang w:val="es-CO"/>
              </w:rPr>
            </w:pPr>
            <w:r w:rsidRPr="007F2B6C">
              <w:rPr>
                <w:rFonts w:ascii="Arial Narrow" w:hAnsi="Arial Narrow"/>
                <w:b/>
                <w:color w:val="000000" w:themeColor="text1"/>
                <w:lang w:val="es-CO"/>
              </w:rPr>
              <w:t>Demandante</w:t>
            </w:r>
            <w:r w:rsidR="009D509B" w:rsidRPr="007F2B6C">
              <w:rPr>
                <w:rFonts w:ascii="Arial Narrow" w:hAnsi="Arial Narrow"/>
                <w:b/>
                <w:color w:val="000000" w:themeColor="text1"/>
                <w:lang w:val="es-CO"/>
              </w:rPr>
              <w:t>:</w:t>
            </w:r>
            <w:r w:rsidR="009D509B" w:rsidRPr="007F2B6C">
              <w:rPr>
                <w:rFonts w:ascii="Arial Narrow" w:hAnsi="Arial Narrow"/>
                <w:color w:val="000000" w:themeColor="text1"/>
                <w:lang w:val="es-CO"/>
              </w:rPr>
              <w:t xml:space="preserve">  </w:t>
            </w:r>
            <w:r w:rsidR="00954430" w:rsidRPr="007F2B6C">
              <w:rPr>
                <w:rFonts w:ascii="Arial Narrow" w:hAnsi="Arial Narrow"/>
                <w:color w:val="000000" w:themeColor="text1"/>
                <w:lang w:val="es-CO"/>
              </w:rPr>
              <w:t xml:space="preserve">    </w:t>
            </w:r>
            <w:r w:rsidR="003D6EEF">
              <w:rPr>
                <w:rFonts w:ascii="Arial Narrow" w:hAnsi="Arial Narrow"/>
                <w:color w:val="000000" w:themeColor="text1"/>
                <w:lang w:val="es-CO"/>
              </w:rPr>
              <w:t xml:space="preserve">ADMINISTRADORA DE LOS RECUSOS DEL SISTEMA GENERAL DE SEGURIDAD SOCIAL EN SALUD - </w:t>
            </w:r>
            <w:r w:rsidR="008673C2">
              <w:rPr>
                <w:rFonts w:ascii="Arial Narrow" w:hAnsi="Arial Narrow"/>
                <w:color w:val="000000" w:themeColor="text1"/>
                <w:lang w:val="es-CO"/>
              </w:rPr>
              <w:t>ADRES</w:t>
            </w:r>
          </w:p>
          <w:p w14:paraId="267A974E" w14:textId="77777777" w:rsidR="003D6EEF" w:rsidRDefault="003D6EEF" w:rsidP="003D6EEF">
            <w:pPr>
              <w:pStyle w:val="TableParagraph"/>
              <w:tabs>
                <w:tab w:val="left" w:pos="10072"/>
              </w:tabs>
              <w:ind w:left="1860" w:right="704" w:hanging="1559"/>
              <w:rPr>
                <w:rFonts w:ascii="Arial Narrow" w:hAnsi="Arial Narrow"/>
                <w:b/>
                <w:color w:val="000000" w:themeColor="text1"/>
              </w:rPr>
            </w:pPr>
          </w:p>
          <w:p w14:paraId="5A7AC2C6" w14:textId="77777777" w:rsidR="0068607A" w:rsidRDefault="005A5D7E" w:rsidP="0068607A">
            <w:pPr>
              <w:pStyle w:val="TableParagraph"/>
              <w:tabs>
                <w:tab w:val="left" w:pos="10072"/>
              </w:tabs>
              <w:ind w:left="1860" w:right="704" w:hanging="1559"/>
              <w:rPr>
                <w:rFonts w:ascii="Arial Narrow" w:hAnsi="Arial Narrow"/>
                <w:bCs/>
                <w:color w:val="000000" w:themeColor="text1"/>
              </w:rPr>
            </w:pPr>
            <w:r w:rsidRPr="007F2B6C">
              <w:rPr>
                <w:rFonts w:ascii="Arial Narrow" w:hAnsi="Arial Narrow"/>
                <w:b/>
                <w:color w:val="000000" w:themeColor="text1"/>
              </w:rPr>
              <w:t>Demandado</w:t>
            </w:r>
            <w:r w:rsidR="00EA3A1B" w:rsidRPr="007F2B6C">
              <w:rPr>
                <w:rFonts w:ascii="Arial Narrow" w:hAnsi="Arial Narrow"/>
                <w:b/>
                <w:color w:val="000000" w:themeColor="text1"/>
              </w:rPr>
              <w:t>s</w:t>
            </w:r>
            <w:r w:rsidR="00954430" w:rsidRPr="007F2B6C">
              <w:rPr>
                <w:rFonts w:ascii="Arial Narrow" w:hAnsi="Arial Narrow"/>
                <w:bCs/>
                <w:color w:val="000000" w:themeColor="text1"/>
              </w:rPr>
              <w:t xml:space="preserve">:     </w:t>
            </w:r>
            <w:r w:rsidR="003D6EEF">
              <w:rPr>
                <w:rFonts w:ascii="Arial Narrow" w:hAnsi="Arial Narrow"/>
                <w:bCs/>
                <w:color w:val="000000" w:themeColor="text1"/>
              </w:rPr>
              <w:t>SUPERINTENDENCIA NACIONAL DE SALUD</w:t>
            </w:r>
          </w:p>
          <w:p w14:paraId="4FCCA0D0" w14:textId="3DF4FCAA" w:rsidR="003D6EEF" w:rsidRPr="007F2B6C" w:rsidRDefault="0068607A" w:rsidP="0068607A">
            <w:pPr>
              <w:pStyle w:val="TableParagraph"/>
              <w:tabs>
                <w:tab w:val="left" w:pos="10072"/>
              </w:tabs>
              <w:ind w:left="1860" w:right="704" w:hanging="1559"/>
              <w:rPr>
                <w:rFonts w:ascii="Arial Narrow" w:hAnsi="Arial Narrow"/>
                <w:bCs/>
                <w:color w:val="000000" w:themeColor="text1"/>
              </w:rPr>
            </w:pPr>
            <w:r>
              <w:rPr>
                <w:rFonts w:ascii="Arial Narrow" w:hAnsi="Arial Narrow"/>
                <w:b/>
                <w:color w:val="000000" w:themeColor="text1"/>
              </w:rPr>
              <w:t xml:space="preserve">                             </w:t>
            </w:r>
            <w:r w:rsidR="003D6EEF">
              <w:rPr>
                <w:rFonts w:ascii="Arial Narrow" w:hAnsi="Arial Narrow"/>
                <w:bCs/>
                <w:color w:val="000000" w:themeColor="text1"/>
              </w:rPr>
              <w:t xml:space="preserve">COOMEVA EPS </w:t>
            </w:r>
            <w:r w:rsidR="00405888">
              <w:rPr>
                <w:rFonts w:ascii="Arial Narrow" w:hAnsi="Arial Narrow"/>
                <w:bCs/>
                <w:color w:val="000000" w:themeColor="text1"/>
              </w:rPr>
              <w:t>LIQUIDADA</w:t>
            </w:r>
          </w:p>
          <w:p w14:paraId="190F091E" w14:textId="44012B3C" w:rsidR="009D509B" w:rsidRPr="007F2B6C" w:rsidRDefault="00E43C7C" w:rsidP="0096478A">
            <w:pPr>
              <w:pStyle w:val="TableParagraph"/>
              <w:tabs>
                <w:tab w:val="left" w:pos="3141"/>
                <w:tab w:val="left" w:pos="5330"/>
                <w:tab w:val="left" w:pos="7314"/>
                <w:tab w:val="left" w:pos="10072"/>
              </w:tabs>
              <w:ind w:left="304" w:right="317" w:hanging="1843"/>
              <w:rPr>
                <w:rFonts w:ascii="Arial Narrow" w:hAnsi="Arial Narrow"/>
                <w:color w:val="000000" w:themeColor="text1"/>
                <w:lang w:val="es-CO"/>
              </w:rPr>
            </w:pPr>
            <w:r w:rsidRPr="007F2B6C">
              <w:rPr>
                <w:rFonts w:ascii="Arial Narrow" w:hAnsi="Arial Narrow"/>
                <w:b/>
                <w:color w:val="000000" w:themeColor="text1"/>
                <w:lang w:val="es-CO"/>
              </w:rPr>
              <w:t xml:space="preserve"> </w:t>
            </w:r>
          </w:p>
          <w:p w14:paraId="6D8FD61F" w14:textId="79881AF9" w:rsidR="00F33B07" w:rsidRDefault="00F33B07" w:rsidP="00F33B07">
            <w:pPr>
              <w:pStyle w:val="TableParagraph"/>
              <w:tabs>
                <w:tab w:val="left" w:pos="10072"/>
              </w:tabs>
              <w:ind w:left="306" w:right="704"/>
              <w:jc w:val="both"/>
              <w:rPr>
                <w:rFonts w:ascii="Arial Narrow" w:hAnsi="Arial Narrow"/>
                <w:color w:val="000000" w:themeColor="text1"/>
                <w:lang w:val="es-CO"/>
              </w:rPr>
            </w:pPr>
            <w:r>
              <w:rPr>
                <w:rFonts w:ascii="Arial Narrow" w:hAnsi="Arial Narrow"/>
                <w:b/>
                <w:color w:val="000000" w:themeColor="text1"/>
                <w:lang w:val="es-CO"/>
              </w:rPr>
              <w:t xml:space="preserve"> </w:t>
            </w:r>
          </w:p>
          <w:p w14:paraId="33290485" w14:textId="288D80F7" w:rsidR="009D509B" w:rsidRPr="00F33B07" w:rsidRDefault="00F33B07" w:rsidP="00F33B07">
            <w:pPr>
              <w:pStyle w:val="TableParagraph"/>
              <w:tabs>
                <w:tab w:val="left" w:pos="10072"/>
              </w:tabs>
              <w:ind w:left="1723" w:right="704" w:hanging="1417"/>
              <w:jc w:val="both"/>
              <w:rPr>
                <w:rFonts w:ascii="Arial Narrow" w:hAnsi="Arial Narrow"/>
                <w:color w:val="000000" w:themeColor="text1"/>
                <w:lang w:val="es-CO"/>
              </w:rPr>
            </w:pPr>
            <w:r w:rsidRPr="007F2B6C">
              <w:rPr>
                <w:rFonts w:ascii="Arial Narrow" w:hAnsi="Arial Narrow"/>
                <w:b/>
                <w:color w:val="000000" w:themeColor="text1"/>
                <w:lang w:val="es-CO"/>
              </w:rPr>
              <w:t>Cuantía</w:t>
            </w:r>
            <w:r w:rsidRPr="007F2B6C">
              <w:rPr>
                <w:rFonts w:ascii="Arial Narrow" w:hAnsi="Arial Narrow"/>
                <w:color w:val="000000" w:themeColor="text1"/>
                <w:lang w:val="es-CO"/>
              </w:rPr>
              <w:t>:</w:t>
            </w:r>
            <w:r>
              <w:rPr>
                <w:rFonts w:ascii="Arial Narrow" w:hAnsi="Arial Narrow"/>
                <w:color w:val="000000" w:themeColor="text1"/>
                <w:lang w:val="es-CO"/>
              </w:rPr>
              <w:t xml:space="preserve">  </w:t>
            </w:r>
            <w:r w:rsidRPr="007F2B6C">
              <w:rPr>
                <w:rFonts w:ascii="Arial Narrow" w:hAnsi="Arial Narrow"/>
                <w:color w:val="000000" w:themeColor="text1"/>
                <w:lang w:val="es-CO"/>
              </w:rPr>
              <w:t xml:space="preserve"> </w:t>
            </w:r>
            <w:r>
              <w:rPr>
                <w:rFonts w:ascii="Arial Narrow" w:hAnsi="Arial Narrow"/>
                <w:color w:val="000000" w:themeColor="text1"/>
                <w:lang w:val="es-CO"/>
              </w:rPr>
              <w:t xml:space="preserve">         </w:t>
            </w:r>
            <w:r w:rsidRPr="00F33B07">
              <w:rPr>
                <w:rFonts w:ascii="Arial Narrow" w:hAnsi="Arial Narrow"/>
                <w:color w:val="000000" w:themeColor="text1"/>
                <w:lang w:val="es-CO"/>
              </w:rPr>
              <w:t>CIENTO DIECISEIS MIL QUINIENTOS TREINTA Y CINCO MILLONES SEISCIENTOS OCHENTA Y NUEVE MIL OCHOCIENTOS DOS PESOS SESENTA Y TRES CENTAVOS MCTE ($116.535.689.802,63).</w:t>
            </w:r>
            <w:r w:rsidR="00761B7E" w:rsidRPr="00F33B07">
              <w:rPr>
                <w:rFonts w:ascii="Arial Narrow" w:hAnsi="Arial Narrow"/>
                <w:color w:val="000000" w:themeColor="text1"/>
                <w:lang w:val="es-CO"/>
              </w:rPr>
              <w:t xml:space="preserve"> </w:t>
            </w:r>
          </w:p>
          <w:p w14:paraId="70F09393" w14:textId="77777777" w:rsidR="00F33B07" w:rsidRDefault="00F33B07" w:rsidP="0057562F">
            <w:pPr>
              <w:pStyle w:val="TableParagraph"/>
              <w:tabs>
                <w:tab w:val="left" w:pos="10072"/>
              </w:tabs>
              <w:ind w:left="304" w:right="704"/>
              <w:rPr>
                <w:rFonts w:ascii="Arial Narrow" w:hAnsi="Arial Narrow"/>
                <w:b/>
                <w:color w:val="000000" w:themeColor="text1"/>
                <w:lang w:val="es-CO"/>
              </w:rPr>
            </w:pPr>
          </w:p>
          <w:p w14:paraId="6335B123" w14:textId="0CF6BE56" w:rsidR="000D7BF5" w:rsidRPr="007F2B6C" w:rsidRDefault="009D509B" w:rsidP="0057562F">
            <w:pPr>
              <w:pStyle w:val="TableParagraph"/>
              <w:tabs>
                <w:tab w:val="left" w:pos="10072"/>
              </w:tabs>
              <w:ind w:left="304" w:right="704"/>
              <w:rPr>
                <w:rFonts w:ascii="Arial Narrow" w:hAnsi="Arial Narrow"/>
                <w:b/>
                <w:color w:val="000000" w:themeColor="text1"/>
                <w:lang w:val="es-CO"/>
              </w:rPr>
            </w:pPr>
            <w:r w:rsidRPr="007F2B6C">
              <w:rPr>
                <w:rFonts w:ascii="Arial Narrow" w:hAnsi="Arial Narrow"/>
                <w:b/>
                <w:color w:val="000000" w:themeColor="text1"/>
                <w:lang w:val="es-CO"/>
              </w:rPr>
              <w:t>OBSERVACIONES:</w:t>
            </w:r>
          </w:p>
          <w:p w14:paraId="42E4DB6D" w14:textId="77777777" w:rsidR="009D509B" w:rsidRPr="007F2B6C" w:rsidRDefault="009D509B" w:rsidP="0096478A">
            <w:pPr>
              <w:pStyle w:val="TableParagraph"/>
              <w:tabs>
                <w:tab w:val="left" w:pos="10072"/>
              </w:tabs>
              <w:ind w:left="304" w:right="704"/>
              <w:rPr>
                <w:rFonts w:ascii="Arial Narrow" w:hAnsi="Arial Narrow"/>
                <w:color w:val="000000" w:themeColor="text1"/>
                <w:lang w:val="es-CO"/>
              </w:rPr>
            </w:pPr>
          </w:p>
          <w:p w14:paraId="60C2CB9F" w14:textId="6809622F" w:rsidR="009D509B" w:rsidRPr="007F2B6C" w:rsidRDefault="009D509B" w:rsidP="0096478A">
            <w:pPr>
              <w:pStyle w:val="TableParagraph"/>
              <w:tabs>
                <w:tab w:val="left" w:pos="2382"/>
                <w:tab w:val="left" w:pos="10072"/>
              </w:tabs>
              <w:ind w:left="304" w:right="704"/>
              <w:rPr>
                <w:rFonts w:ascii="Arial Narrow" w:hAnsi="Arial Narrow"/>
                <w:color w:val="000000" w:themeColor="text1"/>
                <w:lang w:val="es-CO"/>
              </w:rPr>
            </w:pPr>
            <w:r w:rsidRPr="007F2B6C">
              <w:rPr>
                <w:rFonts w:ascii="Arial Narrow" w:hAnsi="Arial Narrow"/>
                <w:b/>
                <w:color w:val="000000" w:themeColor="text1"/>
                <w:lang w:val="es-CO"/>
              </w:rPr>
              <w:t>Estado actual del</w:t>
            </w:r>
            <w:r w:rsidR="00884359">
              <w:rPr>
                <w:rFonts w:ascii="Arial Narrow" w:hAnsi="Arial Narrow"/>
                <w:b/>
                <w:color w:val="000000" w:themeColor="text1"/>
                <w:lang w:val="es-CO"/>
              </w:rPr>
              <w:t xml:space="preserve"> </w:t>
            </w:r>
            <w:r w:rsidR="00884359" w:rsidRPr="003532F0">
              <w:rPr>
                <w:rFonts w:ascii="Arial Narrow" w:hAnsi="Arial Narrow"/>
                <w:b/>
                <w:color w:val="000000" w:themeColor="text1"/>
                <w:lang w:val="es-CO"/>
              </w:rPr>
              <w:t xml:space="preserve">Proceso: </w:t>
            </w:r>
            <w:r w:rsidR="00C6091A" w:rsidRPr="003532F0">
              <w:rPr>
                <w:rFonts w:ascii="Arial Narrow" w:hAnsi="Arial Narrow"/>
                <w:color w:val="000000" w:themeColor="text1"/>
                <w:lang w:val="es-CO"/>
              </w:rPr>
              <w:t xml:space="preserve">Proceso </w:t>
            </w:r>
            <w:r w:rsidRPr="003532F0">
              <w:rPr>
                <w:rFonts w:ascii="Arial Narrow" w:hAnsi="Arial Narrow"/>
                <w:color w:val="000000" w:themeColor="text1"/>
                <w:lang w:val="es-CO"/>
              </w:rPr>
              <w:t xml:space="preserve">judicial </w:t>
            </w:r>
            <w:r w:rsidR="00C6091A" w:rsidRPr="003532F0">
              <w:rPr>
                <w:rFonts w:ascii="Arial Narrow" w:hAnsi="Arial Narrow"/>
                <w:color w:val="000000" w:themeColor="text1"/>
                <w:lang w:val="es-CO"/>
              </w:rPr>
              <w:t>en etapa inicial</w:t>
            </w:r>
          </w:p>
          <w:p w14:paraId="2C0A8999" w14:textId="458D836B" w:rsidR="009D509B" w:rsidRPr="007F2B6C" w:rsidRDefault="009D509B" w:rsidP="00884359">
            <w:pPr>
              <w:pStyle w:val="TableParagraph"/>
              <w:tabs>
                <w:tab w:val="left" w:pos="2382"/>
                <w:tab w:val="left" w:pos="10072"/>
              </w:tabs>
              <w:ind w:right="704"/>
              <w:rPr>
                <w:rFonts w:ascii="Arial Narrow" w:hAnsi="Arial Narrow"/>
                <w:b/>
                <w:bCs/>
                <w:color w:val="000000" w:themeColor="text1"/>
                <w:lang w:val="es-CO"/>
              </w:rPr>
            </w:pPr>
          </w:p>
          <w:p w14:paraId="1CBBB1B1" w14:textId="77777777" w:rsidR="000E3478" w:rsidRPr="007F2B6C" w:rsidRDefault="000E3478" w:rsidP="0096478A">
            <w:pPr>
              <w:pStyle w:val="TableParagraph"/>
              <w:ind w:left="114"/>
              <w:rPr>
                <w:rFonts w:ascii="Arial Narrow" w:hAnsi="Arial Narrow"/>
                <w:b/>
                <w:color w:val="000000" w:themeColor="text1"/>
                <w:lang w:val="es-CO"/>
              </w:rPr>
            </w:pPr>
          </w:p>
        </w:tc>
      </w:tr>
      <w:tr w:rsidR="00392BD5" w:rsidRPr="007F2B6C" w14:paraId="5F337766" w14:textId="77777777" w:rsidTr="00581ADE">
        <w:trPr>
          <w:gridAfter w:val="1"/>
          <w:wAfter w:w="6" w:type="pct"/>
          <w:trHeight w:val="319"/>
        </w:trPr>
        <w:tc>
          <w:tcPr>
            <w:tcW w:w="4994" w:type="pct"/>
            <w:tcBorders>
              <w:top w:val="single" w:sz="18" w:space="0" w:color="000000" w:themeColor="text1"/>
              <w:bottom w:val="single" w:sz="8" w:space="0" w:color="000000" w:themeColor="text1"/>
            </w:tcBorders>
          </w:tcPr>
          <w:p w14:paraId="7F82FD11" w14:textId="5C28090D" w:rsidR="000E3478" w:rsidRPr="007F2B6C" w:rsidRDefault="004112CD" w:rsidP="0096478A">
            <w:pPr>
              <w:pStyle w:val="TableParagraph"/>
              <w:ind w:left="1658" w:right="1692"/>
              <w:jc w:val="center"/>
              <w:rPr>
                <w:rFonts w:ascii="Arial Narrow" w:hAnsi="Arial Narrow"/>
                <w:b/>
                <w:color w:val="000000" w:themeColor="text1"/>
                <w:lang w:val="es-CO"/>
              </w:rPr>
            </w:pPr>
            <w:r>
              <w:rPr>
                <w:rFonts w:ascii="Arial Narrow" w:hAnsi="Arial Narrow"/>
                <w:b/>
                <w:color w:val="000000" w:themeColor="text1"/>
                <w:lang w:val="es-CO"/>
              </w:rPr>
              <w:t>CUESTIÓN PREVIA</w:t>
            </w:r>
          </w:p>
        </w:tc>
      </w:tr>
      <w:tr w:rsidR="004112CD" w:rsidRPr="007F2B6C" w14:paraId="74F1DEB3" w14:textId="77777777" w:rsidTr="00581ADE">
        <w:trPr>
          <w:gridAfter w:val="1"/>
          <w:wAfter w:w="6" w:type="pct"/>
          <w:trHeight w:val="319"/>
        </w:trPr>
        <w:tc>
          <w:tcPr>
            <w:tcW w:w="4994" w:type="pct"/>
            <w:tcBorders>
              <w:top w:val="single" w:sz="18" w:space="0" w:color="000000" w:themeColor="text1"/>
              <w:bottom w:val="single" w:sz="8" w:space="0" w:color="000000" w:themeColor="text1"/>
            </w:tcBorders>
          </w:tcPr>
          <w:p w14:paraId="5FB57758" w14:textId="77777777" w:rsidR="003D6EEF" w:rsidRDefault="003D6EEF" w:rsidP="003D6EEF">
            <w:pPr>
              <w:pStyle w:val="Prrafodelista"/>
              <w:ind w:left="720" w:right="567"/>
              <w:jc w:val="both"/>
              <w:rPr>
                <w:rFonts w:ascii="Arial Narrow" w:hAnsi="Arial Narrow"/>
                <w:b/>
                <w:color w:val="000000" w:themeColor="text1"/>
                <w:lang w:val="es-CO"/>
              </w:rPr>
            </w:pPr>
          </w:p>
          <w:p w14:paraId="644A5E64" w14:textId="5C3B082C" w:rsidR="003D6EEF" w:rsidRPr="003D6EEF" w:rsidRDefault="003D6EEF" w:rsidP="003D6EEF">
            <w:pPr>
              <w:pStyle w:val="Prrafodelista"/>
              <w:numPr>
                <w:ilvl w:val="0"/>
                <w:numId w:val="2"/>
              </w:numPr>
              <w:ind w:right="567"/>
              <w:jc w:val="both"/>
              <w:rPr>
                <w:rFonts w:ascii="Arial Narrow" w:hAnsi="Arial Narrow"/>
                <w:b/>
                <w:color w:val="000000" w:themeColor="text1"/>
                <w:lang w:val="es-CO"/>
              </w:rPr>
            </w:pPr>
            <w:r w:rsidRPr="003D6EEF">
              <w:rPr>
                <w:rFonts w:ascii="Arial Narrow" w:hAnsi="Arial Narrow"/>
                <w:b/>
                <w:color w:val="000000" w:themeColor="text1"/>
                <w:lang w:val="es-CO"/>
              </w:rPr>
              <w:t>Antecedentes</w:t>
            </w:r>
          </w:p>
          <w:p w14:paraId="141419FE" w14:textId="77777777" w:rsidR="003D6EEF" w:rsidRDefault="003D6EEF" w:rsidP="003D6EEF">
            <w:pPr>
              <w:pStyle w:val="Prrafodelista"/>
              <w:ind w:left="589" w:right="567"/>
              <w:jc w:val="both"/>
              <w:rPr>
                <w:rFonts w:ascii="Arial Narrow" w:hAnsi="Arial Narrow"/>
                <w:bCs/>
                <w:color w:val="000000" w:themeColor="text1"/>
                <w:lang w:val="es-CO"/>
              </w:rPr>
            </w:pPr>
          </w:p>
          <w:p w14:paraId="6235DBD2" w14:textId="77777777" w:rsidR="003D6EEF" w:rsidRPr="005154F4" w:rsidRDefault="003D6EEF" w:rsidP="003D6EEF">
            <w:pPr>
              <w:pStyle w:val="Prrafodelista"/>
              <w:ind w:left="589" w:right="567"/>
              <w:jc w:val="both"/>
              <w:rPr>
                <w:rFonts w:ascii="Arial Narrow" w:hAnsi="Arial Narrow"/>
                <w:bCs/>
                <w:color w:val="000000" w:themeColor="text1"/>
              </w:rPr>
            </w:pPr>
            <w:r w:rsidRPr="00085E20">
              <w:rPr>
                <w:rFonts w:ascii="Arial Narrow" w:hAnsi="Arial Narrow"/>
                <w:bCs/>
                <w:color w:val="000000" w:themeColor="text1"/>
                <w:lang w:val="es-CO"/>
              </w:rPr>
              <w:t>L</w:t>
            </w:r>
            <w:r w:rsidRPr="00085E20">
              <w:rPr>
                <w:rFonts w:ascii="Arial Narrow" w:hAnsi="Arial Narrow"/>
                <w:bCs/>
                <w:color w:val="000000" w:themeColor="text1"/>
              </w:rPr>
              <w:t>a Agencia Nacional de Defensa Jurídica del Estado</w:t>
            </w:r>
            <w:r>
              <w:rPr>
                <w:rFonts w:ascii="Arial Narrow" w:hAnsi="Arial Narrow"/>
                <w:bCs/>
                <w:color w:val="000000" w:themeColor="text1"/>
              </w:rPr>
              <w:t xml:space="preserve"> (en adelante </w:t>
            </w:r>
            <w:r w:rsidRPr="00085E20">
              <w:rPr>
                <w:rFonts w:ascii="Arial Narrow" w:hAnsi="Arial Narrow"/>
                <w:bCs/>
                <w:color w:val="000000" w:themeColor="text1"/>
              </w:rPr>
              <w:t>ANDJE</w:t>
            </w:r>
            <w:r>
              <w:rPr>
                <w:rFonts w:ascii="Arial Narrow" w:hAnsi="Arial Narrow"/>
                <w:bCs/>
                <w:color w:val="000000" w:themeColor="text1"/>
              </w:rPr>
              <w:t>)</w:t>
            </w:r>
            <w:r w:rsidRPr="00085E20">
              <w:rPr>
                <w:rFonts w:ascii="Arial Narrow" w:hAnsi="Arial Narrow"/>
                <w:bCs/>
                <w:color w:val="000000" w:themeColor="text1"/>
              </w:rPr>
              <w:t xml:space="preserve"> conminó a la ADRES para acudir ante el mecanismo de mediación previsto en el artículo </w:t>
            </w:r>
            <w:r>
              <w:rPr>
                <w:rFonts w:ascii="Arial Narrow" w:hAnsi="Arial Narrow"/>
                <w:bCs/>
                <w:color w:val="000000" w:themeColor="text1"/>
              </w:rPr>
              <w:t>4</w:t>
            </w:r>
            <w:r>
              <w:rPr>
                <w:rStyle w:val="Refdenotaalpie"/>
                <w:rFonts w:ascii="Arial Narrow" w:hAnsi="Arial Narrow"/>
                <w:bCs/>
                <w:color w:val="000000" w:themeColor="text1"/>
              </w:rPr>
              <w:footnoteReference w:id="2"/>
            </w:r>
            <w:r w:rsidRPr="00085E20">
              <w:rPr>
                <w:rFonts w:ascii="Arial Narrow" w:hAnsi="Arial Narrow"/>
                <w:bCs/>
                <w:color w:val="000000" w:themeColor="text1"/>
              </w:rPr>
              <w:t xml:space="preserve"> del</w:t>
            </w:r>
            <w:r w:rsidRPr="00085E20">
              <w:rPr>
                <w:rFonts w:ascii="Arial Narrow" w:hAnsi="Arial Narrow"/>
                <w:b/>
                <w:i/>
                <w:iCs/>
                <w:color w:val="000000" w:themeColor="text1"/>
              </w:rPr>
              <w:t xml:space="preserve"> </w:t>
            </w:r>
            <w:r w:rsidRPr="00085E20">
              <w:rPr>
                <w:rFonts w:ascii="Arial Narrow" w:hAnsi="Arial Narrow"/>
                <w:bCs/>
                <w:color w:val="000000" w:themeColor="text1"/>
              </w:rPr>
              <w:t>Decreto 0104 de 2025</w:t>
            </w:r>
            <w:r w:rsidRPr="00085E20">
              <w:rPr>
                <w:rStyle w:val="Refdenotaalpie"/>
                <w:rFonts w:ascii="Arial Narrow" w:hAnsi="Arial Narrow"/>
                <w:bCs/>
                <w:color w:val="000000" w:themeColor="text1"/>
              </w:rPr>
              <w:footnoteReference w:id="3"/>
            </w:r>
            <w:r>
              <w:rPr>
                <w:rFonts w:ascii="Arial Narrow" w:hAnsi="Arial Narrow"/>
                <w:bCs/>
                <w:color w:val="000000" w:themeColor="text1"/>
              </w:rPr>
              <w:t xml:space="preserve"> que modificó el artículo </w:t>
            </w:r>
            <w:r w:rsidRPr="00085E20">
              <w:rPr>
                <w:rFonts w:ascii="Arial Narrow" w:hAnsi="Arial Narrow"/>
                <w:bCs/>
                <w:color w:val="000000" w:themeColor="text1"/>
              </w:rPr>
              <w:t>2.2.3.2.2.1.1</w:t>
            </w:r>
            <w:r>
              <w:rPr>
                <w:rFonts w:ascii="Arial Narrow" w:hAnsi="Arial Narrow"/>
                <w:bCs/>
                <w:color w:val="000000" w:themeColor="text1"/>
              </w:rPr>
              <w:t xml:space="preserve">. del </w:t>
            </w:r>
            <w:r w:rsidRPr="006C262D">
              <w:rPr>
                <w:rFonts w:ascii="Arial Narrow" w:hAnsi="Arial Narrow"/>
                <w:color w:val="000000" w:themeColor="text1"/>
              </w:rPr>
              <w:t>Decreto 1069 de 2015</w:t>
            </w:r>
            <w:r w:rsidRPr="006C262D">
              <w:rPr>
                <w:rStyle w:val="Refdenotaalpie"/>
                <w:rFonts w:ascii="Arial Narrow" w:hAnsi="Arial Narrow"/>
                <w:color w:val="000000" w:themeColor="text1"/>
              </w:rPr>
              <w:footnoteReference w:id="4"/>
            </w:r>
            <w:r>
              <w:rPr>
                <w:rFonts w:ascii="Arial Narrow" w:hAnsi="Arial Narrow"/>
                <w:color w:val="000000" w:themeColor="text1"/>
              </w:rPr>
              <w:t xml:space="preserve"> y en la</w:t>
            </w:r>
            <w:r>
              <w:rPr>
                <w:rFonts w:ascii="Arial Narrow" w:hAnsi="Arial Narrow"/>
                <w:b/>
                <w:i/>
                <w:iCs/>
                <w:color w:val="000000" w:themeColor="text1"/>
              </w:rPr>
              <w:t xml:space="preserve"> </w:t>
            </w:r>
            <w:r w:rsidRPr="00296694">
              <w:rPr>
                <w:rFonts w:ascii="Arial Narrow" w:hAnsi="Arial Narrow"/>
                <w:bCs/>
                <w:color w:val="000000" w:themeColor="text1"/>
              </w:rPr>
              <w:t xml:space="preserve">Circular Externa </w:t>
            </w:r>
            <w:proofErr w:type="spellStart"/>
            <w:r w:rsidRPr="00296694">
              <w:rPr>
                <w:rFonts w:ascii="Arial Narrow" w:hAnsi="Arial Narrow"/>
                <w:bCs/>
                <w:color w:val="000000" w:themeColor="text1"/>
              </w:rPr>
              <w:t>N°</w:t>
            </w:r>
            <w:proofErr w:type="spellEnd"/>
            <w:r w:rsidRPr="00296694">
              <w:rPr>
                <w:rFonts w:ascii="Arial Narrow" w:hAnsi="Arial Narrow"/>
                <w:bCs/>
                <w:color w:val="000000" w:themeColor="text1"/>
              </w:rPr>
              <w:t xml:space="preserve"> 16</w:t>
            </w:r>
            <w:r>
              <w:rPr>
                <w:rStyle w:val="Refdenotaalpie"/>
                <w:rFonts w:ascii="Arial Narrow" w:hAnsi="Arial Narrow"/>
                <w:bCs/>
                <w:color w:val="000000" w:themeColor="text1"/>
              </w:rPr>
              <w:footnoteReference w:id="5"/>
            </w:r>
            <w:r>
              <w:rPr>
                <w:rFonts w:ascii="Arial Narrow" w:hAnsi="Arial Narrow"/>
                <w:bCs/>
                <w:color w:val="000000" w:themeColor="text1"/>
              </w:rPr>
              <w:t xml:space="preserve"> expedida por la ANDJE,</w:t>
            </w:r>
            <w:r w:rsidRPr="007A6E25">
              <w:rPr>
                <w:rFonts w:ascii="Arial Narrow" w:hAnsi="Arial Narrow"/>
                <w:b/>
                <w:i/>
                <w:iCs/>
                <w:color w:val="000000" w:themeColor="text1"/>
              </w:rPr>
              <w:t xml:space="preserve"> </w:t>
            </w:r>
            <w:r w:rsidRPr="00275D72">
              <w:rPr>
                <w:rFonts w:ascii="Arial Narrow" w:hAnsi="Arial Narrow"/>
                <w:bCs/>
                <w:color w:val="000000" w:themeColor="text1"/>
              </w:rPr>
              <w:t>el cual tiene por</w:t>
            </w:r>
            <w:r w:rsidRPr="007A6E25">
              <w:rPr>
                <w:rFonts w:ascii="Arial Narrow" w:hAnsi="Arial Narrow"/>
                <w:bCs/>
                <w:color w:val="000000" w:themeColor="text1"/>
              </w:rPr>
              <w:t xml:space="preserve"> objeto </w:t>
            </w:r>
            <w:r w:rsidRPr="005154F4">
              <w:rPr>
                <w:rFonts w:ascii="Arial Narrow" w:hAnsi="Arial Narrow"/>
                <w:bCs/>
                <w:color w:val="000000" w:themeColor="text1"/>
              </w:rPr>
              <w:t>resolver los conflictos que se suscitan entre entidades públicas de manera anticipada y superar la conflictividad interinstitucional de manera célere, directa y extraprocesal a través del Sistema de Defensa Jurídica del Estado</w:t>
            </w:r>
            <w:r>
              <w:rPr>
                <w:rFonts w:ascii="Arial Narrow" w:hAnsi="Arial Narrow"/>
                <w:bCs/>
                <w:color w:val="000000" w:themeColor="text1"/>
              </w:rPr>
              <w:t xml:space="preserve"> que fue establecido </w:t>
            </w:r>
            <w:r w:rsidRPr="005154F4">
              <w:rPr>
                <w:rFonts w:ascii="Arial Narrow" w:hAnsi="Arial Narrow"/>
                <w:bCs/>
                <w:color w:val="000000" w:themeColor="text1"/>
              </w:rPr>
              <w:t>en el artículo 206 de la Ley 2294 de 2023</w:t>
            </w:r>
            <w:r>
              <w:rPr>
                <w:rStyle w:val="Refdenotaalpie"/>
                <w:rFonts w:ascii="Arial Narrow" w:hAnsi="Arial Narrow"/>
                <w:bCs/>
                <w:color w:val="000000" w:themeColor="text1"/>
              </w:rPr>
              <w:footnoteReference w:id="6"/>
            </w:r>
            <w:r w:rsidRPr="005154F4">
              <w:rPr>
                <w:rFonts w:ascii="Arial Narrow" w:hAnsi="Arial Narrow"/>
                <w:i/>
                <w:iCs/>
                <w:color w:val="000000" w:themeColor="text1"/>
              </w:rPr>
              <w:t xml:space="preserve">, </w:t>
            </w:r>
            <w:r w:rsidRPr="005154F4">
              <w:rPr>
                <w:rFonts w:ascii="Arial Narrow" w:hAnsi="Arial Narrow"/>
                <w:bCs/>
                <w:color w:val="000000" w:themeColor="text1"/>
              </w:rPr>
              <w:t>que reza.</w:t>
            </w:r>
          </w:p>
          <w:p w14:paraId="473EEA1F" w14:textId="77777777" w:rsidR="003D6EEF" w:rsidRPr="009536EB" w:rsidRDefault="003D6EEF" w:rsidP="003D6EEF">
            <w:pPr>
              <w:ind w:right="567"/>
              <w:jc w:val="both"/>
              <w:rPr>
                <w:rFonts w:ascii="Arial Narrow" w:hAnsi="Arial Narrow"/>
                <w:b/>
                <w:color w:val="000000" w:themeColor="text1"/>
                <w:lang w:val="es-CO"/>
              </w:rPr>
            </w:pPr>
          </w:p>
          <w:p w14:paraId="53A87124" w14:textId="77777777" w:rsidR="003D6EEF" w:rsidRPr="003D2571" w:rsidRDefault="003D6EEF" w:rsidP="003D6EEF">
            <w:pPr>
              <w:pStyle w:val="Prrafodelista"/>
              <w:ind w:left="873" w:right="567"/>
              <w:jc w:val="both"/>
              <w:rPr>
                <w:rFonts w:ascii="Arial Narrow" w:hAnsi="Arial Narrow"/>
                <w:bCs/>
                <w:i/>
                <w:iCs/>
                <w:color w:val="000000" w:themeColor="text1"/>
                <w:sz w:val="20"/>
                <w:szCs w:val="20"/>
                <w:lang w:val="es-CO"/>
              </w:rPr>
            </w:pPr>
            <w:r>
              <w:rPr>
                <w:rFonts w:ascii="Arial Narrow" w:hAnsi="Arial Narrow"/>
                <w:b/>
                <w:bCs/>
                <w:i/>
                <w:iCs/>
                <w:color w:val="000000" w:themeColor="text1"/>
                <w:sz w:val="20"/>
                <w:szCs w:val="20"/>
                <w:lang w:val="es-CO"/>
              </w:rPr>
              <w:t>“</w:t>
            </w:r>
            <w:r w:rsidRPr="003D2571">
              <w:rPr>
                <w:rFonts w:ascii="Arial Narrow" w:hAnsi="Arial Narrow"/>
                <w:b/>
                <w:bCs/>
                <w:i/>
                <w:iCs/>
                <w:color w:val="000000" w:themeColor="text1"/>
                <w:sz w:val="20"/>
                <w:szCs w:val="20"/>
                <w:lang w:val="es-CO"/>
              </w:rPr>
              <w:t>Artículo 206. Sistema de Defensa Jurídica del Estado</w:t>
            </w:r>
            <w:r w:rsidRPr="003D2571">
              <w:rPr>
                <w:rFonts w:ascii="Arial Narrow" w:hAnsi="Arial Narrow"/>
                <w:bCs/>
                <w:i/>
                <w:iCs/>
                <w:color w:val="000000" w:themeColor="text1"/>
                <w:sz w:val="20"/>
                <w:szCs w:val="20"/>
                <w:lang w:val="es-CO"/>
              </w:rPr>
              <w:t>. Créese el Sistema de Defensa Jurídica del Estado (SDJE) como un conjunto de actores, políticas, estrategias, principios, normas, rutas de articulación e instrumentos jurídicos, técnicos, financieros y gerenciales orientados a garantizar de manera coordinada la eficacia de la política pública del ciclo de defensa jurídica del Estado, en las entidades públicas del orden nacional y territorial, independientemente de su naturaleza y régimen jurídico. </w:t>
            </w:r>
          </w:p>
          <w:p w14:paraId="00094FAB" w14:textId="77777777" w:rsidR="003D6EEF" w:rsidRPr="003D2571" w:rsidRDefault="003D6EEF" w:rsidP="003D6EEF">
            <w:pPr>
              <w:pStyle w:val="Prrafodelista"/>
              <w:ind w:left="873" w:right="567"/>
              <w:jc w:val="both"/>
              <w:rPr>
                <w:rFonts w:ascii="Arial Narrow" w:hAnsi="Arial Narrow"/>
                <w:bCs/>
                <w:i/>
                <w:iCs/>
                <w:color w:val="000000" w:themeColor="text1"/>
                <w:sz w:val="20"/>
                <w:szCs w:val="20"/>
                <w:lang w:val="es-CO"/>
              </w:rPr>
            </w:pPr>
            <w:r w:rsidRPr="003D2571">
              <w:rPr>
                <w:rFonts w:ascii="Arial Narrow" w:hAnsi="Arial Narrow"/>
                <w:bCs/>
                <w:i/>
                <w:iCs/>
                <w:color w:val="000000" w:themeColor="text1"/>
                <w:sz w:val="20"/>
                <w:szCs w:val="20"/>
                <w:lang w:val="es-CO"/>
              </w:rPr>
              <w:t>  </w:t>
            </w:r>
          </w:p>
          <w:p w14:paraId="00420195" w14:textId="77777777" w:rsidR="003D6EEF" w:rsidRPr="003D2571" w:rsidRDefault="003D6EEF" w:rsidP="003D6EEF">
            <w:pPr>
              <w:pStyle w:val="Prrafodelista"/>
              <w:ind w:left="873" w:right="567"/>
              <w:jc w:val="both"/>
              <w:rPr>
                <w:rFonts w:ascii="Arial Narrow" w:hAnsi="Arial Narrow"/>
                <w:bCs/>
                <w:i/>
                <w:iCs/>
                <w:color w:val="000000" w:themeColor="text1"/>
                <w:sz w:val="20"/>
                <w:szCs w:val="20"/>
                <w:lang w:val="es-CO"/>
              </w:rPr>
            </w:pPr>
            <w:r w:rsidRPr="003D2571">
              <w:rPr>
                <w:rFonts w:ascii="Arial Narrow" w:hAnsi="Arial Narrow"/>
                <w:bCs/>
                <w:i/>
                <w:iCs/>
                <w:color w:val="000000" w:themeColor="text1"/>
                <w:sz w:val="20"/>
                <w:szCs w:val="20"/>
                <w:lang w:val="es-CO"/>
              </w:rPr>
              <w:t>El SDJE tendrá como coordinador a la Agencia Nacional de Defensa Jurídica del Estado (ANDJE) y tendrá por objeto fortalecer la defensa jurídica del Estado, mejorar las calidades y condiciones de los abogados defensores del Estado, promover estándares y condiciones para el ejercicio de la función de la defensa jurídica del Estado, propiciar la generación y circulación de buenas prácticas y administrar los recursos que permiten hacer una gestión eficiente del ciclo de defensa jurídica, promoviendo la disminución del impacto fiscal derivado de la litigiosidad. </w:t>
            </w:r>
          </w:p>
          <w:p w14:paraId="7F4355EB" w14:textId="77777777" w:rsidR="003D6EEF" w:rsidRPr="003D2571" w:rsidRDefault="003D6EEF" w:rsidP="003D6EEF">
            <w:pPr>
              <w:pStyle w:val="Prrafodelista"/>
              <w:ind w:left="873" w:right="567"/>
              <w:jc w:val="both"/>
              <w:rPr>
                <w:rFonts w:ascii="Arial Narrow" w:hAnsi="Arial Narrow"/>
                <w:bCs/>
                <w:i/>
                <w:iCs/>
                <w:color w:val="000000" w:themeColor="text1"/>
                <w:sz w:val="20"/>
                <w:szCs w:val="20"/>
                <w:lang w:val="es-CO"/>
              </w:rPr>
            </w:pPr>
            <w:r w:rsidRPr="003D2571">
              <w:rPr>
                <w:rFonts w:ascii="Arial Narrow" w:hAnsi="Arial Narrow"/>
                <w:bCs/>
                <w:i/>
                <w:iCs/>
                <w:color w:val="000000" w:themeColor="text1"/>
                <w:sz w:val="20"/>
                <w:szCs w:val="20"/>
                <w:lang w:val="es-CO"/>
              </w:rPr>
              <w:t>  </w:t>
            </w:r>
          </w:p>
          <w:p w14:paraId="554406FC" w14:textId="77777777" w:rsidR="003D6EEF" w:rsidRPr="003D2571" w:rsidRDefault="003D6EEF" w:rsidP="003D6EEF">
            <w:pPr>
              <w:pStyle w:val="Prrafodelista"/>
              <w:ind w:left="873" w:right="567"/>
              <w:jc w:val="both"/>
              <w:rPr>
                <w:rFonts w:ascii="Arial Narrow" w:hAnsi="Arial Narrow"/>
                <w:bCs/>
                <w:i/>
                <w:iCs/>
                <w:color w:val="000000" w:themeColor="text1"/>
                <w:sz w:val="20"/>
                <w:szCs w:val="20"/>
                <w:lang w:val="es-CO"/>
              </w:rPr>
            </w:pPr>
            <w:r w:rsidRPr="003D2571">
              <w:rPr>
                <w:rFonts w:ascii="Arial Narrow" w:hAnsi="Arial Narrow"/>
                <w:bCs/>
                <w:i/>
                <w:iCs/>
                <w:color w:val="000000" w:themeColor="text1"/>
                <w:sz w:val="20"/>
                <w:szCs w:val="20"/>
                <w:lang w:val="es-CO"/>
              </w:rPr>
              <w:t xml:space="preserve">Los efectos presupuestales de esta norma deberán ser atendidos dentro del Marco Fiscal de Mediano Plazo y el Marco de Gasto </w:t>
            </w:r>
            <w:r w:rsidRPr="003D2571">
              <w:rPr>
                <w:rFonts w:ascii="Arial Narrow" w:hAnsi="Arial Narrow"/>
                <w:bCs/>
                <w:i/>
                <w:iCs/>
                <w:color w:val="000000" w:themeColor="text1"/>
                <w:sz w:val="20"/>
                <w:szCs w:val="20"/>
                <w:lang w:val="es-CO"/>
              </w:rPr>
              <w:lastRenderedPageBreak/>
              <w:t>de Mediano Plazo de la entidad y de acuerdo con las disponibilidades presupuestales. </w:t>
            </w:r>
          </w:p>
          <w:p w14:paraId="2DCCC4A5" w14:textId="77777777" w:rsidR="003D6EEF" w:rsidRPr="003D2571" w:rsidRDefault="003D6EEF" w:rsidP="003D6EEF">
            <w:pPr>
              <w:pStyle w:val="Prrafodelista"/>
              <w:ind w:left="873" w:right="567"/>
              <w:jc w:val="both"/>
              <w:rPr>
                <w:rFonts w:ascii="Arial Narrow" w:hAnsi="Arial Narrow"/>
                <w:bCs/>
                <w:i/>
                <w:iCs/>
                <w:color w:val="000000" w:themeColor="text1"/>
                <w:sz w:val="20"/>
                <w:szCs w:val="20"/>
                <w:lang w:val="es-CO"/>
              </w:rPr>
            </w:pPr>
            <w:r w:rsidRPr="003D2571">
              <w:rPr>
                <w:rFonts w:ascii="Arial Narrow" w:hAnsi="Arial Narrow"/>
                <w:bCs/>
                <w:i/>
                <w:iCs/>
                <w:color w:val="000000" w:themeColor="text1"/>
                <w:sz w:val="20"/>
                <w:szCs w:val="20"/>
                <w:lang w:val="es-CO"/>
              </w:rPr>
              <w:t>  </w:t>
            </w:r>
          </w:p>
          <w:p w14:paraId="23A0B247" w14:textId="77777777" w:rsidR="003D6EEF" w:rsidRDefault="003D6EEF" w:rsidP="003D6EEF">
            <w:pPr>
              <w:pStyle w:val="Prrafodelista"/>
              <w:ind w:left="873" w:right="567"/>
              <w:jc w:val="both"/>
              <w:rPr>
                <w:rFonts w:ascii="Arial Narrow" w:hAnsi="Arial Narrow"/>
                <w:bCs/>
                <w:i/>
                <w:iCs/>
                <w:color w:val="000000" w:themeColor="text1"/>
                <w:sz w:val="20"/>
                <w:szCs w:val="20"/>
                <w:lang w:val="es-CO"/>
              </w:rPr>
            </w:pPr>
            <w:r w:rsidRPr="003D2571">
              <w:rPr>
                <w:rFonts w:ascii="Arial Narrow" w:hAnsi="Arial Narrow"/>
                <w:b/>
                <w:bCs/>
                <w:i/>
                <w:iCs/>
                <w:color w:val="000000" w:themeColor="text1"/>
                <w:sz w:val="20"/>
                <w:szCs w:val="20"/>
                <w:lang w:val="es-CO"/>
              </w:rPr>
              <w:t>Parágrafo.</w:t>
            </w:r>
            <w:r w:rsidRPr="003D2571">
              <w:rPr>
                <w:rFonts w:ascii="Arial Narrow" w:hAnsi="Arial Narrow"/>
                <w:bCs/>
                <w:i/>
                <w:iCs/>
                <w:color w:val="000000" w:themeColor="text1"/>
                <w:sz w:val="20"/>
                <w:szCs w:val="20"/>
                <w:lang w:val="es-CO"/>
              </w:rPr>
              <w:t> Se definirá una serie de indicadores de procesos y de resultado que dé cuenta de la efectividad del Sistema de Defensa Jurídica del Estado (SDJE).”</w:t>
            </w:r>
          </w:p>
          <w:p w14:paraId="66E41A71" w14:textId="77777777" w:rsidR="003D6EEF" w:rsidRPr="003D2571" w:rsidRDefault="003D6EEF" w:rsidP="003D6EEF">
            <w:pPr>
              <w:pStyle w:val="Prrafodelista"/>
              <w:ind w:left="1156" w:right="567"/>
              <w:jc w:val="both"/>
              <w:rPr>
                <w:rFonts w:ascii="Arial Narrow" w:hAnsi="Arial Narrow"/>
                <w:bCs/>
                <w:i/>
                <w:iCs/>
                <w:color w:val="000000" w:themeColor="text1"/>
                <w:sz w:val="20"/>
                <w:szCs w:val="20"/>
                <w:lang w:val="es-CO"/>
              </w:rPr>
            </w:pPr>
          </w:p>
          <w:p w14:paraId="57D75A49" w14:textId="77777777" w:rsidR="003D6EEF" w:rsidRDefault="003D6EEF" w:rsidP="003D6EEF">
            <w:pPr>
              <w:ind w:left="589" w:right="616"/>
              <w:jc w:val="both"/>
              <w:rPr>
                <w:rFonts w:ascii="Arial Narrow" w:hAnsi="Arial Narrow"/>
                <w:bCs/>
                <w:color w:val="000000" w:themeColor="text1"/>
                <w:lang w:val="es-CO"/>
              </w:rPr>
            </w:pPr>
            <w:r w:rsidRPr="00F84C82">
              <w:rPr>
                <w:rFonts w:ascii="Arial Narrow" w:hAnsi="Arial Narrow"/>
                <w:bCs/>
                <w:color w:val="000000" w:themeColor="text1"/>
                <w:lang w:val="es-CO"/>
              </w:rPr>
              <w:t>De acuerdo con lo anterior, la ANDJE requiere conocer los aspectos más relevantes de la demanda y la decisión del Comité de Conciliación frente a la adopción del mecanismo de mediación dentro del proceso 25000233600020230038900</w:t>
            </w:r>
            <w:r>
              <w:rPr>
                <w:rFonts w:ascii="Arial Narrow" w:hAnsi="Arial Narrow"/>
                <w:bCs/>
                <w:color w:val="000000" w:themeColor="text1"/>
                <w:lang w:val="es-CO"/>
              </w:rPr>
              <w:t xml:space="preserve"> y </w:t>
            </w:r>
            <w:r w:rsidRPr="00F84C82">
              <w:rPr>
                <w:rFonts w:ascii="Arial Narrow" w:hAnsi="Arial Narrow"/>
                <w:bCs/>
                <w:color w:val="000000" w:themeColor="text1"/>
                <w:lang w:val="es-CO"/>
              </w:rPr>
              <w:t>continuar con el trámite de solicitud de concepto ante</w:t>
            </w:r>
            <w:r>
              <w:rPr>
                <w:rFonts w:ascii="Arial Narrow" w:hAnsi="Arial Narrow"/>
                <w:bCs/>
                <w:color w:val="000000" w:themeColor="text1"/>
                <w:lang w:val="es-CO"/>
              </w:rPr>
              <w:t xml:space="preserve"> </w:t>
            </w:r>
            <w:r w:rsidRPr="00F84C82">
              <w:rPr>
                <w:rFonts w:ascii="Arial Narrow" w:hAnsi="Arial Narrow"/>
                <w:bCs/>
                <w:color w:val="000000" w:themeColor="text1"/>
                <w:lang w:val="es-CO"/>
              </w:rPr>
              <w:t>la Sala de Consulta del Servicio Civil del Consejo de Estado, a la luz de lo normado en el artículo 112, numeral 7º de la ley 1437 de 2011, que señala lo siguiente</w:t>
            </w:r>
            <w:r>
              <w:rPr>
                <w:rFonts w:ascii="Arial Narrow" w:hAnsi="Arial Narrow"/>
                <w:bCs/>
                <w:color w:val="000000" w:themeColor="text1"/>
                <w:lang w:val="es-CO"/>
              </w:rPr>
              <w:t>.</w:t>
            </w:r>
          </w:p>
          <w:p w14:paraId="7BAF784F" w14:textId="77777777" w:rsidR="003D6EEF" w:rsidRDefault="003D6EEF" w:rsidP="003D6EEF">
            <w:pPr>
              <w:ind w:left="873" w:right="616"/>
              <w:jc w:val="both"/>
              <w:rPr>
                <w:rFonts w:ascii="Arial Narrow" w:hAnsi="Arial Narrow"/>
                <w:bCs/>
                <w:color w:val="000000" w:themeColor="text1"/>
                <w:lang w:val="es-CO"/>
              </w:rPr>
            </w:pPr>
          </w:p>
          <w:p w14:paraId="15A76E15" w14:textId="77777777" w:rsidR="003D6EEF" w:rsidRPr="00254102" w:rsidRDefault="003D6EEF" w:rsidP="003D6EEF">
            <w:pPr>
              <w:ind w:left="873" w:right="616"/>
              <w:jc w:val="both"/>
              <w:rPr>
                <w:rFonts w:ascii="Arial Narrow" w:hAnsi="Arial Narrow"/>
                <w:bCs/>
                <w:i/>
                <w:iCs/>
                <w:color w:val="000000" w:themeColor="text1"/>
                <w:sz w:val="20"/>
                <w:szCs w:val="20"/>
                <w:lang w:val="es-CO"/>
              </w:rPr>
            </w:pPr>
            <w:r w:rsidRPr="00254102">
              <w:rPr>
                <w:rFonts w:ascii="Arial Narrow" w:hAnsi="Arial Narrow"/>
                <w:b/>
                <w:bCs/>
                <w:i/>
                <w:iCs/>
                <w:color w:val="000000" w:themeColor="text1"/>
                <w:sz w:val="20"/>
                <w:szCs w:val="20"/>
                <w:lang w:val="es-CO"/>
              </w:rPr>
              <w:t>“ARTÍCULO 112</w:t>
            </w:r>
            <w:r w:rsidRPr="00254102">
              <w:rPr>
                <w:rFonts w:ascii="Arial Narrow" w:hAnsi="Arial Narrow"/>
                <w:bCs/>
                <w:i/>
                <w:iCs/>
                <w:color w:val="000000" w:themeColor="text1"/>
                <w:sz w:val="20"/>
                <w:szCs w:val="20"/>
                <w:lang w:val="es-CO"/>
              </w:rPr>
              <w:t>. Integración y funciones de la Sala de Consulta y Servicio Civil. La Sala de Consulta y Servicio Civil cumplirá funciones separadas de las funciones jurisdiccionales y actuará en forma autónoma como cuerpo supremo consultivo del gobierno en asuntos de administración. Estará integrada por cuatro (4) Magistrados. </w:t>
            </w:r>
          </w:p>
          <w:p w14:paraId="5336C703" w14:textId="77777777" w:rsidR="003D6EEF" w:rsidRPr="00254102" w:rsidRDefault="003D6EEF" w:rsidP="003D6EEF">
            <w:pPr>
              <w:ind w:left="873" w:right="616"/>
              <w:jc w:val="both"/>
              <w:rPr>
                <w:rFonts w:ascii="Arial Narrow" w:hAnsi="Arial Narrow"/>
                <w:bCs/>
                <w:i/>
                <w:iCs/>
                <w:color w:val="000000" w:themeColor="text1"/>
                <w:sz w:val="20"/>
                <w:szCs w:val="20"/>
                <w:lang w:val="es-CO"/>
              </w:rPr>
            </w:pPr>
            <w:r w:rsidRPr="00254102">
              <w:rPr>
                <w:rFonts w:ascii="Arial Narrow" w:hAnsi="Arial Narrow"/>
                <w:bCs/>
                <w:i/>
                <w:iCs/>
                <w:color w:val="000000" w:themeColor="text1"/>
                <w:sz w:val="20"/>
                <w:szCs w:val="20"/>
                <w:lang w:val="es-CO"/>
              </w:rPr>
              <w:t>Los conceptos de la Sala no serán vinculantes, salvo que la ley disponga lo contrario. </w:t>
            </w:r>
          </w:p>
          <w:p w14:paraId="777D9E72" w14:textId="77777777" w:rsidR="003D6EEF" w:rsidRPr="00254102" w:rsidRDefault="003D6EEF" w:rsidP="003D6EEF">
            <w:pPr>
              <w:ind w:left="873" w:right="616"/>
              <w:jc w:val="both"/>
              <w:rPr>
                <w:rFonts w:ascii="Arial Narrow" w:hAnsi="Arial Narrow"/>
                <w:bCs/>
                <w:i/>
                <w:iCs/>
                <w:color w:val="000000" w:themeColor="text1"/>
                <w:sz w:val="20"/>
                <w:szCs w:val="20"/>
                <w:lang w:val="es-CO"/>
              </w:rPr>
            </w:pPr>
            <w:r w:rsidRPr="00254102">
              <w:rPr>
                <w:rFonts w:ascii="Arial Narrow" w:hAnsi="Arial Narrow"/>
                <w:bCs/>
                <w:i/>
                <w:iCs/>
                <w:color w:val="000000" w:themeColor="text1"/>
                <w:sz w:val="20"/>
                <w:szCs w:val="20"/>
                <w:lang w:val="es-CO"/>
              </w:rPr>
              <w:t>  </w:t>
            </w:r>
          </w:p>
          <w:p w14:paraId="29346BE2" w14:textId="77777777" w:rsidR="003D6EEF" w:rsidRPr="00254102" w:rsidRDefault="003D6EEF" w:rsidP="003D6EEF">
            <w:pPr>
              <w:ind w:left="873" w:right="616"/>
              <w:jc w:val="both"/>
              <w:rPr>
                <w:rFonts w:ascii="Arial Narrow" w:hAnsi="Arial Narrow"/>
                <w:bCs/>
                <w:i/>
                <w:iCs/>
                <w:color w:val="000000" w:themeColor="text1"/>
                <w:sz w:val="20"/>
                <w:szCs w:val="20"/>
                <w:lang w:val="es-CO"/>
              </w:rPr>
            </w:pPr>
            <w:r w:rsidRPr="00254102">
              <w:rPr>
                <w:rFonts w:ascii="Arial Narrow" w:hAnsi="Arial Narrow"/>
                <w:bCs/>
                <w:i/>
                <w:iCs/>
                <w:color w:val="000000" w:themeColor="text1"/>
                <w:sz w:val="20"/>
                <w:szCs w:val="20"/>
                <w:lang w:val="es-CO"/>
              </w:rPr>
              <w:t>La Sala de Consulta y Servicio Civil tendrá las siguientes atribuciones: </w:t>
            </w:r>
          </w:p>
          <w:p w14:paraId="5B1B894D" w14:textId="77777777" w:rsidR="003D6EEF" w:rsidRPr="00254102" w:rsidRDefault="003D6EEF" w:rsidP="003D6EEF">
            <w:pPr>
              <w:ind w:left="873" w:right="616"/>
              <w:jc w:val="both"/>
              <w:rPr>
                <w:rFonts w:ascii="Arial Narrow" w:hAnsi="Arial Narrow"/>
                <w:bCs/>
                <w:i/>
                <w:iCs/>
                <w:color w:val="000000" w:themeColor="text1"/>
                <w:sz w:val="20"/>
                <w:szCs w:val="20"/>
                <w:lang w:val="es-CO"/>
              </w:rPr>
            </w:pPr>
            <w:r w:rsidRPr="00254102">
              <w:rPr>
                <w:rFonts w:ascii="Arial Narrow" w:hAnsi="Arial Narrow"/>
                <w:bCs/>
                <w:i/>
                <w:iCs/>
                <w:color w:val="000000" w:themeColor="text1"/>
                <w:sz w:val="20"/>
                <w:szCs w:val="20"/>
                <w:lang w:val="es-CO"/>
              </w:rPr>
              <w:t>  </w:t>
            </w:r>
          </w:p>
          <w:p w14:paraId="4A6F44C2" w14:textId="77777777" w:rsidR="003D6EEF" w:rsidRPr="00254102" w:rsidRDefault="003D6EEF" w:rsidP="003D6EEF">
            <w:pPr>
              <w:ind w:left="873" w:right="616"/>
              <w:jc w:val="both"/>
              <w:rPr>
                <w:rFonts w:ascii="Arial Narrow" w:hAnsi="Arial Narrow"/>
                <w:bCs/>
                <w:i/>
                <w:iCs/>
                <w:color w:val="000000" w:themeColor="text1"/>
                <w:sz w:val="20"/>
                <w:szCs w:val="20"/>
                <w:lang w:val="es-CO"/>
              </w:rPr>
            </w:pPr>
            <w:r w:rsidRPr="00254102">
              <w:rPr>
                <w:rFonts w:ascii="Arial Narrow" w:hAnsi="Arial Narrow"/>
                <w:bCs/>
                <w:i/>
                <w:iCs/>
                <w:color w:val="000000" w:themeColor="text1"/>
                <w:sz w:val="20"/>
                <w:szCs w:val="20"/>
                <w:lang w:val="es-CO"/>
              </w:rPr>
              <w:t>7. Emitir concepto, a petición del Gobierno nacional o de la Agencia Nacional de Defensa Jurídica del Estado, en relación con las controversias jurídicas que se presenten entre entidades públicas del orden nacional, o entre estas y entidades del orden territorial, con el fin de precaver un eventual litigio o poner fin a uno existente. El concepto emitido por la Sala no está sujeto a recurso alguno.”</w:t>
            </w:r>
          </w:p>
          <w:p w14:paraId="29ADB4FF" w14:textId="77777777" w:rsidR="003D6EEF" w:rsidRDefault="003D6EEF" w:rsidP="003D6EEF">
            <w:pPr>
              <w:ind w:left="873" w:right="616"/>
              <w:jc w:val="both"/>
              <w:rPr>
                <w:rFonts w:ascii="Arial Narrow" w:hAnsi="Arial Narrow"/>
                <w:bCs/>
                <w:color w:val="000000" w:themeColor="text1"/>
                <w:lang w:val="es-CO"/>
              </w:rPr>
            </w:pPr>
          </w:p>
          <w:p w14:paraId="08057168" w14:textId="77777777" w:rsidR="003D6EEF" w:rsidRDefault="003D6EEF" w:rsidP="003D6EEF">
            <w:pPr>
              <w:ind w:left="589" w:right="616"/>
              <w:jc w:val="both"/>
              <w:rPr>
                <w:rFonts w:ascii="Arial Narrow" w:hAnsi="Arial Narrow"/>
                <w:bCs/>
                <w:color w:val="000000" w:themeColor="text1"/>
                <w:lang w:val="es-CO"/>
              </w:rPr>
            </w:pPr>
            <w:r w:rsidRPr="00A47112">
              <w:rPr>
                <w:rFonts w:ascii="Arial Narrow" w:hAnsi="Arial Narrow"/>
                <w:bCs/>
                <w:color w:val="000000" w:themeColor="text1"/>
              </w:rPr>
              <w:t>E</w:t>
            </w:r>
            <w:r>
              <w:rPr>
                <w:rFonts w:ascii="Arial Narrow" w:hAnsi="Arial Narrow"/>
                <w:bCs/>
                <w:color w:val="000000" w:themeColor="text1"/>
              </w:rPr>
              <w:t xml:space="preserve">l </w:t>
            </w:r>
            <w:r w:rsidRPr="00A47112">
              <w:rPr>
                <w:rFonts w:ascii="Arial Narrow" w:hAnsi="Arial Narrow"/>
                <w:bCs/>
                <w:color w:val="000000" w:themeColor="text1"/>
              </w:rPr>
              <w:t>procedimiento</w:t>
            </w:r>
            <w:r>
              <w:rPr>
                <w:rFonts w:ascii="Arial Narrow" w:hAnsi="Arial Narrow"/>
                <w:bCs/>
                <w:color w:val="000000" w:themeColor="text1"/>
              </w:rPr>
              <w:t xml:space="preserve"> establecido en la norma citada</w:t>
            </w:r>
            <w:r w:rsidRPr="00A47112">
              <w:rPr>
                <w:rFonts w:ascii="Arial Narrow" w:hAnsi="Arial Narrow"/>
                <w:bCs/>
                <w:color w:val="000000" w:themeColor="text1"/>
              </w:rPr>
              <w:t xml:space="preserve"> busca garantizar que las </w:t>
            </w:r>
            <w:r>
              <w:rPr>
                <w:rFonts w:ascii="Arial Narrow" w:hAnsi="Arial Narrow"/>
                <w:bCs/>
                <w:color w:val="000000" w:themeColor="text1"/>
              </w:rPr>
              <w:t>E</w:t>
            </w:r>
            <w:r w:rsidRPr="00A47112">
              <w:rPr>
                <w:rFonts w:ascii="Arial Narrow" w:hAnsi="Arial Narrow"/>
                <w:bCs/>
                <w:color w:val="000000" w:themeColor="text1"/>
              </w:rPr>
              <w:t xml:space="preserve">ntidades </w:t>
            </w:r>
            <w:r>
              <w:rPr>
                <w:rFonts w:ascii="Arial Narrow" w:hAnsi="Arial Narrow"/>
                <w:bCs/>
                <w:color w:val="000000" w:themeColor="text1"/>
              </w:rPr>
              <w:t>P</w:t>
            </w:r>
            <w:r w:rsidRPr="00A47112">
              <w:rPr>
                <w:rFonts w:ascii="Arial Narrow" w:hAnsi="Arial Narrow"/>
                <w:bCs/>
                <w:color w:val="000000" w:themeColor="text1"/>
              </w:rPr>
              <w:t>úblicas actúen conforme a la ley y cuenten con una interpretación autorizada para resolver dudas o conflictos jurídicos.</w:t>
            </w:r>
          </w:p>
          <w:p w14:paraId="47006364" w14:textId="77777777" w:rsidR="004112CD" w:rsidRDefault="004112CD" w:rsidP="0096478A">
            <w:pPr>
              <w:pStyle w:val="TableParagraph"/>
              <w:ind w:left="1658" w:right="1692"/>
              <w:jc w:val="center"/>
              <w:rPr>
                <w:rFonts w:ascii="Arial Narrow" w:hAnsi="Arial Narrow"/>
                <w:b/>
                <w:color w:val="000000" w:themeColor="text1"/>
                <w:lang w:val="es-CO"/>
              </w:rPr>
            </w:pPr>
          </w:p>
        </w:tc>
      </w:tr>
      <w:tr w:rsidR="00392BD5" w:rsidRPr="007F2B6C" w14:paraId="76E12E5B" w14:textId="77777777" w:rsidTr="00200C52">
        <w:trPr>
          <w:trHeight w:val="2815"/>
        </w:trPr>
        <w:tc>
          <w:tcPr>
            <w:tcW w:w="5000" w:type="pct"/>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F1601B" w14:textId="77777777" w:rsidR="00763D3B" w:rsidRPr="00763D3B" w:rsidRDefault="00763D3B" w:rsidP="00763D3B">
            <w:pPr>
              <w:pStyle w:val="Prrafodelista"/>
              <w:rPr>
                <w:rFonts w:ascii="Arial Narrow" w:hAnsi="Arial Narrow"/>
                <w:b/>
                <w:color w:val="000000" w:themeColor="text1"/>
                <w:lang w:val="es-CO"/>
              </w:rPr>
            </w:pPr>
          </w:p>
          <w:p w14:paraId="5E095EC3" w14:textId="532C1347" w:rsidR="00A826BD" w:rsidRPr="007F2B6C" w:rsidRDefault="00763D3B" w:rsidP="00461509">
            <w:pPr>
              <w:pStyle w:val="Prrafodelista"/>
              <w:numPr>
                <w:ilvl w:val="0"/>
                <w:numId w:val="2"/>
              </w:numPr>
              <w:ind w:left="836" w:right="567"/>
              <w:jc w:val="both"/>
              <w:rPr>
                <w:rFonts w:ascii="Arial Narrow" w:hAnsi="Arial Narrow"/>
                <w:b/>
                <w:color w:val="000000" w:themeColor="text1"/>
                <w:lang w:val="es-CO"/>
              </w:rPr>
            </w:pPr>
            <w:r w:rsidRPr="007F2B6C">
              <w:rPr>
                <w:rFonts w:ascii="Arial Narrow" w:hAnsi="Arial Narrow"/>
                <w:b/>
                <w:color w:val="000000" w:themeColor="text1"/>
                <w:lang w:val="es-CO"/>
              </w:rPr>
              <w:t>Hechos</w:t>
            </w:r>
            <w:r w:rsidR="009D509B" w:rsidRPr="007F2B6C">
              <w:rPr>
                <w:rFonts w:ascii="Arial Narrow" w:hAnsi="Arial Narrow"/>
                <w:b/>
                <w:color w:val="000000" w:themeColor="text1"/>
                <w:lang w:val="es-CO"/>
              </w:rPr>
              <w:t xml:space="preserve"> aducidos </w:t>
            </w:r>
            <w:r w:rsidR="00AA41DA" w:rsidRPr="007F2B6C">
              <w:rPr>
                <w:rFonts w:ascii="Arial Narrow" w:hAnsi="Arial Narrow"/>
                <w:b/>
                <w:color w:val="000000" w:themeColor="text1"/>
                <w:lang w:val="es-CO"/>
              </w:rPr>
              <w:t>en la demanda</w:t>
            </w:r>
          </w:p>
          <w:p w14:paraId="5B5CECDF" w14:textId="77777777" w:rsidR="00A826BD" w:rsidRPr="007F2B6C" w:rsidRDefault="00A826BD" w:rsidP="0096478A">
            <w:pPr>
              <w:pStyle w:val="Prrafodelista"/>
              <w:ind w:left="720" w:right="458"/>
              <w:jc w:val="both"/>
              <w:rPr>
                <w:rFonts w:ascii="Arial Narrow" w:hAnsi="Arial Narrow"/>
                <w:b/>
                <w:color w:val="000000" w:themeColor="text1"/>
                <w:lang w:val="es-CO"/>
              </w:rPr>
            </w:pPr>
          </w:p>
          <w:p w14:paraId="5651BB0D" w14:textId="77777777" w:rsidR="00251BD4" w:rsidRPr="00251BD4" w:rsidRDefault="00251BD4" w:rsidP="00251BD4">
            <w:pPr>
              <w:pStyle w:val="Prrafodelista"/>
              <w:numPr>
                <w:ilvl w:val="1"/>
                <w:numId w:val="2"/>
              </w:numPr>
              <w:ind w:right="567"/>
              <w:jc w:val="both"/>
              <w:rPr>
                <w:rFonts w:ascii="Arial Narrow" w:hAnsi="Arial Narrow"/>
                <w:bCs/>
                <w:color w:val="000000" w:themeColor="text1"/>
                <w:lang w:val="es-CO"/>
              </w:rPr>
            </w:pPr>
            <w:r w:rsidRPr="00251BD4">
              <w:rPr>
                <w:rFonts w:ascii="Arial Narrow" w:hAnsi="Arial Narrow"/>
                <w:bCs/>
                <w:color w:val="000000" w:themeColor="text1"/>
                <w:lang w:val="es-CO"/>
              </w:rPr>
              <w:t xml:space="preserve">La Superintendencia Nacional de Salud, en el ejercicio de sus competencias, expidió la Resolución No. 2022320000000189-6 de 25 de enero de 2022, por la cual ordenó la toma en posesión inmediata de los bienes, haberes, negocios y la intervención forzosa administrativa para liquidar a COOMEVA E.P.S S.A. EN LIQUIDACIÓN identificada con NIT No. 805.000.427-1, por el término de dos (2) años, es decir hasta el 25 de enero de 2024.  </w:t>
            </w:r>
          </w:p>
          <w:p w14:paraId="53EF805A" w14:textId="1970FD1F" w:rsidR="00251BD4" w:rsidRPr="00251BD4" w:rsidRDefault="00251BD4" w:rsidP="00251BD4">
            <w:pPr>
              <w:ind w:left="426" w:right="567"/>
              <w:jc w:val="both"/>
              <w:rPr>
                <w:rFonts w:ascii="Arial Narrow" w:hAnsi="Arial Narrow"/>
                <w:bCs/>
                <w:color w:val="000000" w:themeColor="text1"/>
                <w:lang w:val="es-CO"/>
              </w:rPr>
            </w:pPr>
          </w:p>
          <w:p w14:paraId="47554ED5" w14:textId="77777777" w:rsidR="00251BD4" w:rsidRDefault="00251BD4" w:rsidP="00251BD4">
            <w:pPr>
              <w:pStyle w:val="Prrafodelista"/>
              <w:numPr>
                <w:ilvl w:val="1"/>
                <w:numId w:val="2"/>
              </w:numPr>
              <w:ind w:right="567"/>
              <w:jc w:val="both"/>
              <w:rPr>
                <w:rFonts w:ascii="Arial Narrow" w:hAnsi="Arial Narrow"/>
                <w:bCs/>
                <w:color w:val="000000" w:themeColor="text1"/>
                <w:lang w:val="es-CO"/>
              </w:rPr>
            </w:pPr>
            <w:r w:rsidRPr="00251BD4">
              <w:rPr>
                <w:rFonts w:ascii="Arial Narrow" w:hAnsi="Arial Narrow"/>
                <w:bCs/>
                <w:color w:val="000000" w:themeColor="text1"/>
                <w:lang w:val="es-CO"/>
              </w:rPr>
              <w:t xml:space="preserve">En el artículo quinto de dicha Resolución, se designó como liquidador al doctor FELIPE NEGRET MOSQUERA, identificado con la Cédula de Ciudadanía No. 10.547.944 de Popayán (Cauca), quien se posesionó según Acta OL-L-001-2022 del 25 de enero de 2022, ante el </w:t>
            </w:r>
            <w:proofErr w:type="gramStart"/>
            <w:r w:rsidRPr="00251BD4">
              <w:rPr>
                <w:rFonts w:ascii="Arial Narrow" w:hAnsi="Arial Narrow"/>
                <w:bCs/>
                <w:color w:val="000000" w:themeColor="text1"/>
                <w:lang w:val="es-CO"/>
              </w:rPr>
              <w:t>Jefe</w:t>
            </w:r>
            <w:proofErr w:type="gramEnd"/>
            <w:r w:rsidRPr="00251BD4">
              <w:rPr>
                <w:rFonts w:ascii="Arial Narrow" w:hAnsi="Arial Narrow"/>
                <w:bCs/>
                <w:color w:val="000000" w:themeColor="text1"/>
                <w:lang w:val="es-CO"/>
              </w:rPr>
              <w:t xml:space="preserve"> de la Oficina de Liquidaciones de la Superintendencia Nacional de Salud. </w:t>
            </w:r>
          </w:p>
          <w:p w14:paraId="752CDDDA" w14:textId="77777777" w:rsidR="00251BD4" w:rsidRPr="00251BD4" w:rsidRDefault="00251BD4" w:rsidP="00251BD4">
            <w:pPr>
              <w:ind w:right="567"/>
              <w:jc w:val="both"/>
              <w:rPr>
                <w:rFonts w:ascii="Arial Narrow" w:hAnsi="Arial Narrow"/>
                <w:bCs/>
                <w:color w:val="000000" w:themeColor="text1"/>
                <w:lang w:val="es-CO"/>
              </w:rPr>
            </w:pPr>
          </w:p>
          <w:p w14:paraId="4FDED13A" w14:textId="2F3BEE26" w:rsidR="00251BD4" w:rsidRDefault="00251BD4" w:rsidP="00251BD4">
            <w:pPr>
              <w:pStyle w:val="Prrafodelista"/>
              <w:numPr>
                <w:ilvl w:val="1"/>
                <w:numId w:val="2"/>
              </w:numPr>
              <w:ind w:right="567"/>
              <w:jc w:val="both"/>
              <w:rPr>
                <w:rFonts w:ascii="Arial Narrow" w:hAnsi="Arial Narrow"/>
                <w:bCs/>
                <w:color w:val="000000" w:themeColor="text1"/>
                <w:lang w:val="es-CO"/>
              </w:rPr>
            </w:pPr>
            <w:r w:rsidRPr="00251BD4">
              <w:rPr>
                <w:rFonts w:ascii="Arial Narrow" w:hAnsi="Arial Narrow"/>
                <w:bCs/>
                <w:color w:val="000000" w:themeColor="text1"/>
                <w:lang w:val="es-CO"/>
              </w:rPr>
              <w:t xml:space="preserve"> </w:t>
            </w:r>
            <w:r>
              <w:rPr>
                <w:rFonts w:ascii="Arial Narrow" w:hAnsi="Arial Narrow"/>
                <w:bCs/>
                <w:color w:val="000000" w:themeColor="text1"/>
                <w:lang w:val="es-CO"/>
              </w:rPr>
              <w:t>El</w:t>
            </w:r>
            <w:r w:rsidRPr="00251BD4">
              <w:rPr>
                <w:rFonts w:ascii="Arial Narrow" w:hAnsi="Arial Narrow"/>
                <w:bCs/>
                <w:color w:val="000000" w:themeColor="text1"/>
                <w:lang w:val="es-CO"/>
              </w:rPr>
              <w:t xml:space="preserve"> artículo 9.1.3.2.1 del Decreto 2555 de 2010, dispone que dentro de los cinco (5) días siguientes a la orden de intervención forzosa administrativa para liquidar, se emplazará a quienes tengan reclamaciones de cualquier índole contra la intervenida, mediante la publicación de dos avisos en diarios de amplia circulación nacional y en otro del domicilio principal de la entidad. </w:t>
            </w:r>
          </w:p>
          <w:p w14:paraId="1C361E07" w14:textId="77777777" w:rsidR="00251BD4" w:rsidRPr="00251BD4" w:rsidRDefault="00251BD4" w:rsidP="00251BD4">
            <w:pPr>
              <w:pStyle w:val="Prrafodelista"/>
              <w:rPr>
                <w:rFonts w:ascii="Arial Narrow" w:hAnsi="Arial Narrow"/>
                <w:bCs/>
                <w:color w:val="000000" w:themeColor="text1"/>
                <w:lang w:val="es-CO"/>
              </w:rPr>
            </w:pPr>
          </w:p>
          <w:p w14:paraId="4CEB72B7" w14:textId="77777777" w:rsidR="00251BD4" w:rsidRPr="00251BD4" w:rsidRDefault="00251BD4" w:rsidP="00251BD4">
            <w:pPr>
              <w:pStyle w:val="Prrafodelista"/>
              <w:numPr>
                <w:ilvl w:val="1"/>
                <w:numId w:val="2"/>
              </w:numPr>
              <w:ind w:right="567"/>
              <w:jc w:val="both"/>
              <w:rPr>
                <w:rFonts w:ascii="Arial Narrow" w:hAnsi="Arial Narrow"/>
                <w:bCs/>
                <w:color w:val="000000" w:themeColor="text1"/>
                <w:lang w:val="es-CO"/>
              </w:rPr>
            </w:pPr>
            <w:r w:rsidRPr="00251BD4">
              <w:rPr>
                <w:rFonts w:ascii="Arial Narrow" w:hAnsi="Arial Narrow"/>
                <w:bCs/>
                <w:color w:val="000000" w:themeColor="text1"/>
                <w:lang w:val="es-CO"/>
              </w:rPr>
              <w:t xml:space="preserve">El 1º de febrero de 2022 mediante aviso </w:t>
            </w:r>
            <w:proofErr w:type="spellStart"/>
            <w:r w:rsidRPr="00251BD4">
              <w:rPr>
                <w:rFonts w:ascii="Arial Narrow" w:hAnsi="Arial Narrow"/>
                <w:bCs/>
                <w:color w:val="000000" w:themeColor="text1"/>
                <w:lang w:val="es-CO"/>
              </w:rPr>
              <w:t>emplazatorio</w:t>
            </w:r>
            <w:proofErr w:type="spellEnd"/>
            <w:r w:rsidRPr="00251BD4">
              <w:rPr>
                <w:rFonts w:ascii="Arial Narrow" w:hAnsi="Arial Narrow"/>
                <w:bCs/>
                <w:color w:val="000000" w:themeColor="text1"/>
                <w:lang w:val="es-CO"/>
              </w:rPr>
              <w:t xml:space="preserve">, el agente liquidador emplazó a todas las personas naturales y </w:t>
            </w:r>
            <w:r w:rsidRPr="00251BD4">
              <w:rPr>
                <w:rFonts w:ascii="Arial Narrow" w:hAnsi="Arial Narrow"/>
                <w:bCs/>
                <w:color w:val="000000" w:themeColor="text1"/>
                <w:lang w:val="es-CO"/>
              </w:rPr>
              <w:lastRenderedPageBreak/>
              <w:t xml:space="preserve">jurídicas de carácter público y privado para que presentaran de manera oportuna sus respectivos créditos durante el periodo del 11 de febrero al 11 de marzo de 2022, de lunes a viernes en el horario de 8:00 AM a 12:00 M y 1:00 PM a 5:00 PM. Las reclamaciones presentadas con posterioridad al 11 de marzo de 2022 serían calificadas y graduadas como extemporáneas. </w:t>
            </w:r>
          </w:p>
          <w:p w14:paraId="7F9CC6DF" w14:textId="33DEF9F3" w:rsidR="00251BD4" w:rsidRPr="00251BD4" w:rsidRDefault="00251BD4" w:rsidP="00251BD4">
            <w:pPr>
              <w:pStyle w:val="Prrafodelista"/>
              <w:ind w:left="786" w:right="567"/>
              <w:jc w:val="both"/>
              <w:rPr>
                <w:rFonts w:ascii="Arial Narrow" w:hAnsi="Arial Narrow"/>
                <w:bCs/>
                <w:color w:val="000000" w:themeColor="text1"/>
                <w:lang w:val="es-CO"/>
              </w:rPr>
            </w:pPr>
          </w:p>
          <w:p w14:paraId="3C864489" w14:textId="0542189F" w:rsidR="00251BD4" w:rsidRPr="00251BD4" w:rsidRDefault="00251BD4" w:rsidP="00251BD4">
            <w:pPr>
              <w:pStyle w:val="Prrafodelista"/>
              <w:numPr>
                <w:ilvl w:val="1"/>
                <w:numId w:val="2"/>
              </w:numPr>
              <w:ind w:right="567"/>
              <w:jc w:val="both"/>
              <w:rPr>
                <w:rFonts w:ascii="Arial Narrow" w:hAnsi="Arial Narrow"/>
                <w:bCs/>
                <w:color w:val="000000" w:themeColor="text1"/>
                <w:lang w:val="es-CO"/>
              </w:rPr>
            </w:pPr>
            <w:r>
              <w:rPr>
                <w:rFonts w:ascii="Arial Narrow" w:hAnsi="Arial Narrow"/>
                <w:bCs/>
                <w:color w:val="000000" w:themeColor="text1"/>
                <w:lang w:val="es-CO"/>
              </w:rPr>
              <w:t>La ADRES</w:t>
            </w:r>
            <w:r w:rsidRPr="00251BD4">
              <w:rPr>
                <w:rFonts w:ascii="Arial Narrow" w:hAnsi="Arial Narrow"/>
                <w:bCs/>
                <w:color w:val="000000" w:themeColor="text1"/>
                <w:lang w:val="es-CO"/>
              </w:rPr>
              <w:t xml:space="preserve"> presentó al proceso de liquidación la reclamación No. 10244 por un valor de $100.642.880.791. </w:t>
            </w:r>
          </w:p>
          <w:p w14:paraId="0600086D" w14:textId="51588984" w:rsidR="00251BD4" w:rsidRPr="00251BD4" w:rsidRDefault="00251BD4" w:rsidP="005454E6">
            <w:pPr>
              <w:pStyle w:val="Prrafodelista"/>
              <w:ind w:left="786" w:right="567"/>
              <w:jc w:val="both"/>
              <w:rPr>
                <w:rFonts w:ascii="Arial Narrow" w:hAnsi="Arial Narrow"/>
                <w:bCs/>
                <w:color w:val="000000" w:themeColor="text1"/>
                <w:lang w:val="es-CO"/>
              </w:rPr>
            </w:pPr>
          </w:p>
          <w:p w14:paraId="120EA9FB" w14:textId="77777777" w:rsidR="005454E6" w:rsidRDefault="00251BD4" w:rsidP="005454E6">
            <w:pPr>
              <w:pStyle w:val="Prrafodelista"/>
              <w:numPr>
                <w:ilvl w:val="1"/>
                <w:numId w:val="2"/>
              </w:numPr>
              <w:ind w:right="567"/>
              <w:jc w:val="both"/>
              <w:rPr>
                <w:rFonts w:ascii="Arial Narrow" w:hAnsi="Arial Narrow"/>
                <w:bCs/>
                <w:color w:val="000000" w:themeColor="text1"/>
                <w:lang w:val="es-CO"/>
              </w:rPr>
            </w:pPr>
            <w:r w:rsidRPr="00251BD4">
              <w:rPr>
                <w:rFonts w:ascii="Arial Narrow" w:hAnsi="Arial Narrow"/>
                <w:bCs/>
                <w:color w:val="000000" w:themeColor="text1"/>
                <w:lang w:val="es-CO"/>
              </w:rPr>
              <w:t xml:space="preserve">Mediante Resolución No. A-007549 del 25 de octubre de 2022 “POR MEDIO DE LA CUAL SE EXCLUYE DE LA MASA UNA ACREENCIA PRESENTADA AL PROCESO LIQUIDATORIO DE COOMEVA EPS SA EN LIQUIDACION”, el agente liquidador determinó: </w:t>
            </w:r>
          </w:p>
          <w:p w14:paraId="579BB8E1" w14:textId="77777777" w:rsidR="005454E6" w:rsidRPr="005454E6" w:rsidRDefault="005454E6" w:rsidP="005454E6">
            <w:pPr>
              <w:pStyle w:val="Prrafodelista"/>
              <w:rPr>
                <w:rFonts w:ascii="Arial Narrow" w:hAnsi="Arial Narrow"/>
                <w:bCs/>
                <w:color w:val="000000" w:themeColor="text1"/>
                <w:lang w:val="es-CO"/>
              </w:rPr>
            </w:pPr>
          </w:p>
          <w:p w14:paraId="602C63F5" w14:textId="1E147664" w:rsidR="00251BD4" w:rsidRPr="00443605" w:rsidRDefault="00251BD4" w:rsidP="005454E6">
            <w:pPr>
              <w:pStyle w:val="Prrafodelista"/>
              <w:ind w:left="1014" w:right="567"/>
              <w:jc w:val="both"/>
              <w:rPr>
                <w:rFonts w:ascii="Arial Narrow" w:hAnsi="Arial Narrow"/>
                <w:bCs/>
                <w:i/>
                <w:iCs/>
                <w:color w:val="000000" w:themeColor="text1"/>
                <w:sz w:val="20"/>
                <w:szCs w:val="20"/>
                <w:lang w:val="es-CO"/>
              </w:rPr>
            </w:pPr>
            <w:r w:rsidRPr="00443605">
              <w:rPr>
                <w:rFonts w:ascii="Arial Narrow" w:hAnsi="Arial Narrow"/>
                <w:bCs/>
                <w:i/>
                <w:iCs/>
                <w:color w:val="000000" w:themeColor="text1"/>
                <w:sz w:val="20"/>
                <w:szCs w:val="20"/>
                <w:lang w:val="es-CO"/>
              </w:rPr>
              <w:t xml:space="preserve">“ARTICULO PRIMERO. RECONOCER PARCIALMENTE la acreencia oportuna por ADMINISTRADORA DE LOS RECURSOS DEL SISTEMA GENERAL DE SEGURIDAD SOCIAL EN SALUD (ADRES) identificado con NIT No. 901037916, por valor de SESENTA Y SIETE MIL CIENTO CUARENTA Y CINCO MILLONES CUATROCIENTOS TREINTA Y DOS MIL DOSCIENTOS VEINTINUEVE PESOS MCTE </w:t>
            </w:r>
          </w:p>
          <w:p w14:paraId="2203A61E" w14:textId="77777777" w:rsidR="00251BD4" w:rsidRPr="00443605" w:rsidRDefault="00251BD4" w:rsidP="00FC6839">
            <w:pPr>
              <w:pStyle w:val="Prrafodelista"/>
              <w:ind w:left="1014" w:right="567"/>
              <w:jc w:val="both"/>
              <w:rPr>
                <w:rFonts w:ascii="Arial Narrow" w:hAnsi="Arial Narrow"/>
                <w:bCs/>
                <w:i/>
                <w:iCs/>
                <w:color w:val="000000" w:themeColor="text1"/>
                <w:sz w:val="20"/>
                <w:szCs w:val="20"/>
                <w:lang w:val="es-CO"/>
              </w:rPr>
            </w:pPr>
            <w:r w:rsidRPr="00443605">
              <w:rPr>
                <w:rFonts w:ascii="Arial Narrow" w:hAnsi="Arial Narrow"/>
                <w:bCs/>
                <w:i/>
                <w:iCs/>
                <w:color w:val="000000" w:themeColor="text1"/>
                <w:sz w:val="20"/>
                <w:szCs w:val="20"/>
                <w:lang w:val="es-CO"/>
              </w:rPr>
              <w:t xml:space="preserve">($67.145.432.229,00), así: </w:t>
            </w:r>
          </w:p>
          <w:p w14:paraId="7B865B8C" w14:textId="77777777" w:rsidR="00A84461" w:rsidRPr="00443605" w:rsidRDefault="00A84461" w:rsidP="00A84461">
            <w:pPr>
              <w:ind w:left="1014" w:right="567"/>
              <w:jc w:val="both"/>
              <w:rPr>
                <w:rFonts w:ascii="Arial Narrow" w:hAnsi="Arial Narrow"/>
                <w:bCs/>
                <w:i/>
                <w:iCs/>
                <w:color w:val="000000" w:themeColor="text1"/>
                <w:sz w:val="20"/>
                <w:szCs w:val="20"/>
                <w:lang w:val="es-CO"/>
              </w:rPr>
            </w:pPr>
          </w:p>
          <w:p w14:paraId="54A26732" w14:textId="77777777" w:rsidR="00443605" w:rsidRPr="00443605" w:rsidRDefault="00A84461" w:rsidP="00443605">
            <w:pPr>
              <w:pStyle w:val="Prrafodelista"/>
              <w:ind w:left="1014" w:right="567"/>
              <w:jc w:val="both"/>
              <w:rPr>
                <w:rFonts w:ascii="Arial Narrow" w:hAnsi="Arial Narrow"/>
                <w:bCs/>
                <w:i/>
                <w:iCs/>
                <w:color w:val="000000" w:themeColor="text1"/>
                <w:sz w:val="20"/>
                <w:szCs w:val="20"/>
                <w:lang w:val="es-CO"/>
              </w:rPr>
            </w:pPr>
            <w:r w:rsidRPr="00443605">
              <w:rPr>
                <w:rFonts w:ascii="Arial Narrow" w:hAnsi="Arial Narrow"/>
                <w:bCs/>
                <w:i/>
                <w:iCs/>
                <w:noProof/>
                <w:color w:val="000000" w:themeColor="text1"/>
                <w:sz w:val="20"/>
                <w:szCs w:val="20"/>
                <w:lang w:val="es-CO"/>
              </w:rPr>
              <w:drawing>
                <wp:inline distT="0" distB="0" distL="0" distR="0" wp14:anchorId="6DCE2217" wp14:editId="69288718">
                  <wp:extent cx="5341620" cy="815340"/>
                  <wp:effectExtent l="0" t="0" r="0" b="3810"/>
                  <wp:docPr id="7898739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87390" name=""/>
                          <pic:cNvPicPr/>
                        </pic:nvPicPr>
                        <pic:blipFill>
                          <a:blip r:embed="rId11"/>
                          <a:stretch>
                            <a:fillRect/>
                          </a:stretch>
                        </pic:blipFill>
                        <pic:spPr>
                          <a:xfrm>
                            <a:off x="0" y="0"/>
                            <a:ext cx="5341620" cy="815340"/>
                          </a:xfrm>
                          <a:prstGeom prst="rect">
                            <a:avLst/>
                          </a:prstGeom>
                        </pic:spPr>
                      </pic:pic>
                    </a:graphicData>
                  </a:graphic>
                </wp:inline>
              </w:drawing>
            </w:r>
          </w:p>
          <w:p w14:paraId="2BE8EE30" w14:textId="77777777" w:rsidR="00443605" w:rsidRPr="00443605" w:rsidRDefault="00443605" w:rsidP="00443605">
            <w:pPr>
              <w:pStyle w:val="Prrafodelista"/>
              <w:ind w:left="1014" w:right="567"/>
              <w:jc w:val="both"/>
              <w:rPr>
                <w:rFonts w:ascii="Arial Narrow" w:hAnsi="Arial Narrow"/>
                <w:bCs/>
                <w:i/>
                <w:iCs/>
                <w:color w:val="000000" w:themeColor="text1"/>
                <w:sz w:val="20"/>
                <w:szCs w:val="20"/>
                <w:lang w:val="es-CO"/>
              </w:rPr>
            </w:pPr>
          </w:p>
          <w:p w14:paraId="16F6AF46" w14:textId="77777777" w:rsidR="00443605" w:rsidRPr="00443605" w:rsidRDefault="00251BD4" w:rsidP="00443605">
            <w:pPr>
              <w:pStyle w:val="Prrafodelista"/>
              <w:ind w:left="1014" w:right="567"/>
              <w:jc w:val="both"/>
              <w:rPr>
                <w:rFonts w:ascii="Arial Narrow" w:hAnsi="Arial Narrow"/>
                <w:bCs/>
                <w:i/>
                <w:iCs/>
                <w:color w:val="000000" w:themeColor="text1"/>
                <w:sz w:val="20"/>
                <w:szCs w:val="20"/>
                <w:lang w:val="es-CO"/>
              </w:rPr>
            </w:pPr>
            <w:r w:rsidRPr="00443605">
              <w:rPr>
                <w:rFonts w:ascii="Arial Narrow" w:hAnsi="Arial Narrow"/>
                <w:bCs/>
                <w:i/>
                <w:iCs/>
                <w:color w:val="000000" w:themeColor="text1"/>
                <w:sz w:val="20"/>
                <w:szCs w:val="20"/>
                <w:lang w:val="es-CO"/>
              </w:rPr>
              <w:t xml:space="preserve">PARÁGRAFO PRIMERO: Para la aceptación, rechazo parcial de la acreencia presentada se tuvo en cuenta si el valor reclamado cumplió con todos los requisitos formales de ley en cuanto la presentación del crédito, así como el registro en la contabilidad de la entidad liquidada y demás requisitos legales y contractuales, tal como fue descrito en la parte considerativa del presente acto. </w:t>
            </w:r>
          </w:p>
          <w:p w14:paraId="1F786099" w14:textId="77777777" w:rsidR="00443605" w:rsidRPr="00443605" w:rsidRDefault="00443605" w:rsidP="00443605">
            <w:pPr>
              <w:pStyle w:val="Prrafodelista"/>
              <w:ind w:left="1014" w:right="567"/>
              <w:jc w:val="both"/>
              <w:rPr>
                <w:rFonts w:ascii="Arial Narrow" w:hAnsi="Arial Narrow"/>
                <w:bCs/>
                <w:i/>
                <w:iCs/>
                <w:color w:val="000000" w:themeColor="text1"/>
                <w:sz w:val="20"/>
                <w:szCs w:val="20"/>
                <w:lang w:val="es-CO"/>
              </w:rPr>
            </w:pPr>
          </w:p>
          <w:p w14:paraId="05FB3AF1" w14:textId="10AEDD9C" w:rsidR="00251BD4" w:rsidRPr="00443605" w:rsidRDefault="00251BD4" w:rsidP="00443605">
            <w:pPr>
              <w:pStyle w:val="Prrafodelista"/>
              <w:ind w:left="1014" w:right="567"/>
              <w:jc w:val="both"/>
              <w:rPr>
                <w:rFonts w:ascii="Arial Narrow" w:hAnsi="Arial Narrow"/>
                <w:bCs/>
                <w:i/>
                <w:iCs/>
                <w:color w:val="000000" w:themeColor="text1"/>
                <w:sz w:val="20"/>
                <w:szCs w:val="20"/>
                <w:lang w:val="es-CO"/>
              </w:rPr>
            </w:pPr>
            <w:r w:rsidRPr="00443605">
              <w:rPr>
                <w:rFonts w:ascii="Arial Narrow" w:hAnsi="Arial Narrow"/>
                <w:bCs/>
                <w:i/>
                <w:iCs/>
                <w:color w:val="000000" w:themeColor="text1"/>
                <w:sz w:val="20"/>
                <w:szCs w:val="20"/>
                <w:lang w:val="es-CO"/>
              </w:rPr>
              <w:t>ART</w:t>
            </w:r>
            <w:r w:rsidR="00443605" w:rsidRPr="00443605">
              <w:rPr>
                <w:rFonts w:ascii="Arial Narrow" w:hAnsi="Arial Narrow"/>
                <w:bCs/>
                <w:i/>
                <w:iCs/>
                <w:color w:val="000000" w:themeColor="text1"/>
                <w:sz w:val="20"/>
                <w:szCs w:val="20"/>
                <w:lang w:val="es-CO"/>
              </w:rPr>
              <w:t>Í</w:t>
            </w:r>
            <w:r w:rsidRPr="00443605">
              <w:rPr>
                <w:rFonts w:ascii="Arial Narrow" w:hAnsi="Arial Narrow"/>
                <w:bCs/>
                <w:i/>
                <w:iCs/>
                <w:color w:val="000000" w:themeColor="text1"/>
                <w:sz w:val="20"/>
                <w:szCs w:val="20"/>
                <w:lang w:val="es-CO"/>
              </w:rPr>
              <w:t xml:space="preserve">CULO SEGUNDO: DEDUCIR del valor reconocido las sumas de dineros que el acreedor haya autorizado u obtenido en calidad de giro directo, anticipo, pago parcial o cualquier otro que se encuentre contabilizado. Así mismo, los demás a que haya lugar por concepto de impuestos, tasas, contribuciones, aportes, parafiscales, estampillas, publicaciones y demás descuentos de ley. </w:t>
            </w:r>
          </w:p>
          <w:p w14:paraId="1210E61A" w14:textId="681E8687" w:rsidR="00251BD4" w:rsidRPr="00443605" w:rsidRDefault="00251BD4" w:rsidP="00443605">
            <w:pPr>
              <w:pStyle w:val="Prrafodelista"/>
              <w:ind w:left="1014" w:right="567"/>
              <w:jc w:val="both"/>
              <w:rPr>
                <w:rFonts w:ascii="Arial Narrow" w:hAnsi="Arial Narrow"/>
                <w:bCs/>
                <w:i/>
                <w:iCs/>
                <w:color w:val="000000" w:themeColor="text1"/>
                <w:sz w:val="20"/>
                <w:szCs w:val="20"/>
                <w:lang w:val="es-CO"/>
              </w:rPr>
            </w:pPr>
          </w:p>
          <w:p w14:paraId="2D582FEA" w14:textId="77777777" w:rsidR="00251BD4" w:rsidRPr="00443605" w:rsidRDefault="00251BD4" w:rsidP="00443605">
            <w:pPr>
              <w:pStyle w:val="Prrafodelista"/>
              <w:ind w:left="1014" w:right="567"/>
              <w:jc w:val="both"/>
              <w:rPr>
                <w:rFonts w:ascii="Arial Narrow" w:hAnsi="Arial Narrow"/>
                <w:bCs/>
                <w:i/>
                <w:iCs/>
                <w:color w:val="000000" w:themeColor="text1"/>
                <w:sz w:val="20"/>
                <w:szCs w:val="20"/>
                <w:lang w:val="es-CO"/>
              </w:rPr>
            </w:pPr>
            <w:r w:rsidRPr="00443605">
              <w:rPr>
                <w:rFonts w:ascii="Arial Narrow" w:hAnsi="Arial Narrow"/>
                <w:bCs/>
                <w:i/>
                <w:iCs/>
                <w:color w:val="000000" w:themeColor="text1"/>
                <w:sz w:val="20"/>
                <w:szCs w:val="20"/>
                <w:lang w:val="es-CO"/>
              </w:rPr>
              <w:t xml:space="preserve">ARTICULO TERCERO. PAGAR los créditos EXCLUÍDOS DE LA MASA en la medida en que las disponibilidades de la entidad en liquidación lo permitan, directamente a los reclamantes o a sus apoderados o representantes legales debidamente facultados para ello; para lo cual el liquidador señalará, cuantas veces sea necesario, periodos para realizar el pago total o parcial, con sujeción a la prelación de créditos establecida en el artículo 12 de la Ley 1997 de 2016. </w:t>
            </w:r>
          </w:p>
          <w:p w14:paraId="2B32EDE4" w14:textId="761BC4AD" w:rsidR="00251BD4" w:rsidRPr="00443605" w:rsidRDefault="00251BD4" w:rsidP="00443605">
            <w:pPr>
              <w:pStyle w:val="Prrafodelista"/>
              <w:ind w:left="1014" w:right="567"/>
              <w:jc w:val="both"/>
              <w:rPr>
                <w:rFonts w:ascii="Arial Narrow" w:hAnsi="Arial Narrow"/>
                <w:bCs/>
                <w:i/>
                <w:iCs/>
                <w:color w:val="000000" w:themeColor="text1"/>
                <w:sz w:val="20"/>
                <w:szCs w:val="20"/>
                <w:lang w:val="es-CO"/>
              </w:rPr>
            </w:pPr>
          </w:p>
          <w:p w14:paraId="5BDCFB0D" w14:textId="77777777" w:rsidR="00251BD4" w:rsidRPr="00443605" w:rsidRDefault="00251BD4" w:rsidP="00443605">
            <w:pPr>
              <w:pStyle w:val="Prrafodelista"/>
              <w:ind w:left="1014" w:right="567"/>
              <w:jc w:val="both"/>
              <w:rPr>
                <w:rFonts w:ascii="Arial Narrow" w:hAnsi="Arial Narrow"/>
                <w:bCs/>
                <w:i/>
                <w:iCs/>
                <w:color w:val="000000" w:themeColor="text1"/>
                <w:sz w:val="20"/>
                <w:szCs w:val="20"/>
                <w:lang w:val="es-CO"/>
              </w:rPr>
            </w:pPr>
            <w:r w:rsidRPr="00443605">
              <w:rPr>
                <w:rFonts w:ascii="Arial Narrow" w:hAnsi="Arial Narrow"/>
                <w:bCs/>
                <w:i/>
                <w:iCs/>
                <w:color w:val="000000" w:themeColor="text1"/>
                <w:sz w:val="20"/>
                <w:szCs w:val="20"/>
                <w:lang w:val="es-CO"/>
              </w:rPr>
              <w:t xml:space="preserve">ARTICULO CUARTO. Cualquier hecho o pago que surja y que demuestre la existencia de un saldo a favor de COOMEVA EPS S.A EN LIQUIDACIÓN y a cargo del acreedor reconocido, será descontado en el momento del pago, independientemente que dicho valor no se encuentre identificado y relacionado en la presente Resolución. En los casos en que se establezca esta situación, se expedirá el respectivo acto administrativo motivado que podrá ser controvertido a través del recurso de reposición que otorga la ley a cada acreedor. </w:t>
            </w:r>
          </w:p>
          <w:p w14:paraId="4797F68B" w14:textId="225526AC" w:rsidR="00251BD4" w:rsidRPr="00443605" w:rsidRDefault="00251BD4" w:rsidP="00443605">
            <w:pPr>
              <w:pStyle w:val="Prrafodelista"/>
              <w:ind w:left="1014" w:right="567"/>
              <w:jc w:val="both"/>
              <w:rPr>
                <w:rFonts w:ascii="Arial Narrow" w:hAnsi="Arial Narrow"/>
                <w:bCs/>
                <w:i/>
                <w:iCs/>
                <w:color w:val="000000" w:themeColor="text1"/>
                <w:sz w:val="20"/>
                <w:szCs w:val="20"/>
                <w:lang w:val="es-CO"/>
              </w:rPr>
            </w:pPr>
          </w:p>
          <w:p w14:paraId="2BD9FDA7" w14:textId="77777777" w:rsidR="00251BD4" w:rsidRPr="00443605" w:rsidRDefault="00251BD4" w:rsidP="00443605">
            <w:pPr>
              <w:pStyle w:val="Prrafodelista"/>
              <w:ind w:left="1014" w:right="567"/>
              <w:jc w:val="both"/>
              <w:rPr>
                <w:rFonts w:ascii="Arial Narrow" w:hAnsi="Arial Narrow"/>
                <w:bCs/>
                <w:i/>
                <w:iCs/>
                <w:color w:val="000000" w:themeColor="text1"/>
                <w:sz w:val="20"/>
                <w:szCs w:val="20"/>
                <w:lang w:val="es-CO"/>
              </w:rPr>
            </w:pPr>
            <w:r w:rsidRPr="00443605">
              <w:rPr>
                <w:rFonts w:ascii="Arial Narrow" w:hAnsi="Arial Narrow"/>
                <w:bCs/>
                <w:i/>
                <w:iCs/>
                <w:color w:val="000000" w:themeColor="text1"/>
                <w:sz w:val="20"/>
                <w:szCs w:val="20"/>
                <w:lang w:val="es-CO"/>
              </w:rPr>
              <w:t xml:space="preserve">ARTICULO QUINTO. ADVERTIR que no se reconocen intereses causados con posterioridad, así como tampoco indexaciones y demás sanciones causadas con posterioridad a la iniciación del proceso de liquidación, por los motivos señalados en la parte considerativa de esta resolución”. </w:t>
            </w:r>
          </w:p>
          <w:p w14:paraId="64E4AA43" w14:textId="37B957D9" w:rsidR="00251BD4" w:rsidRPr="00251BD4" w:rsidRDefault="00251BD4" w:rsidP="00443605">
            <w:pPr>
              <w:pStyle w:val="Prrafodelista"/>
              <w:ind w:left="786" w:right="567"/>
              <w:jc w:val="both"/>
              <w:rPr>
                <w:rFonts w:ascii="Arial Narrow" w:hAnsi="Arial Narrow"/>
                <w:bCs/>
                <w:color w:val="000000" w:themeColor="text1"/>
                <w:lang w:val="es-CO"/>
              </w:rPr>
            </w:pPr>
          </w:p>
          <w:p w14:paraId="5AEA1696" w14:textId="19A2A966" w:rsidR="00251BD4" w:rsidRPr="00443605" w:rsidRDefault="00251BD4" w:rsidP="00443605">
            <w:pPr>
              <w:pStyle w:val="Prrafodelista"/>
              <w:numPr>
                <w:ilvl w:val="1"/>
                <w:numId w:val="2"/>
              </w:numPr>
              <w:ind w:right="567"/>
              <w:jc w:val="both"/>
              <w:rPr>
                <w:rFonts w:ascii="Arial Narrow" w:hAnsi="Arial Narrow"/>
                <w:bCs/>
                <w:color w:val="000000" w:themeColor="text1"/>
                <w:lang w:val="es-CO"/>
              </w:rPr>
            </w:pPr>
            <w:r w:rsidRPr="00251BD4">
              <w:rPr>
                <w:rFonts w:ascii="Arial Narrow" w:hAnsi="Arial Narrow"/>
                <w:bCs/>
                <w:color w:val="000000" w:themeColor="text1"/>
                <w:lang w:val="es-CO"/>
              </w:rPr>
              <w:t>La resolución en comento fue notificada por conducta concluyente el 8 de noviembre de 2022</w:t>
            </w:r>
            <w:r w:rsidR="00443605">
              <w:rPr>
                <w:rFonts w:ascii="Arial Narrow" w:hAnsi="Arial Narrow"/>
                <w:bCs/>
                <w:color w:val="000000" w:themeColor="text1"/>
                <w:lang w:val="es-CO"/>
              </w:rPr>
              <w:t xml:space="preserve"> y el </w:t>
            </w:r>
            <w:r w:rsidRPr="00443605">
              <w:rPr>
                <w:rFonts w:ascii="Arial Narrow" w:hAnsi="Arial Narrow"/>
                <w:bCs/>
                <w:color w:val="000000" w:themeColor="text1"/>
                <w:lang w:val="es-CO"/>
              </w:rPr>
              <w:t xml:space="preserve">8 de noviembre de 2022, la ADRES a través de apoderado judicial radicó recurso de reposición en contra de la Resolución No. A-007549 del 25 de octubre de 2022. </w:t>
            </w:r>
          </w:p>
          <w:p w14:paraId="61714EF5" w14:textId="2DF74700" w:rsidR="00251BD4" w:rsidRPr="00251BD4" w:rsidRDefault="00251BD4" w:rsidP="00852F7B">
            <w:pPr>
              <w:pStyle w:val="Prrafodelista"/>
              <w:ind w:left="786" w:right="567"/>
              <w:jc w:val="both"/>
              <w:rPr>
                <w:rFonts w:ascii="Arial Narrow" w:hAnsi="Arial Narrow"/>
                <w:bCs/>
                <w:color w:val="000000" w:themeColor="text1"/>
                <w:lang w:val="es-CO"/>
              </w:rPr>
            </w:pPr>
          </w:p>
          <w:p w14:paraId="5E4D197F" w14:textId="77777777" w:rsidR="00F47026" w:rsidRDefault="00251BD4" w:rsidP="00F47026">
            <w:pPr>
              <w:pStyle w:val="Prrafodelista"/>
              <w:numPr>
                <w:ilvl w:val="1"/>
                <w:numId w:val="2"/>
              </w:numPr>
              <w:ind w:right="567"/>
              <w:jc w:val="both"/>
              <w:rPr>
                <w:rFonts w:ascii="Arial Narrow" w:hAnsi="Arial Narrow"/>
                <w:bCs/>
                <w:color w:val="000000" w:themeColor="text1"/>
                <w:lang w:val="es-CO"/>
              </w:rPr>
            </w:pPr>
            <w:r w:rsidRPr="00251BD4">
              <w:rPr>
                <w:rFonts w:ascii="Arial Narrow" w:hAnsi="Arial Narrow"/>
                <w:bCs/>
                <w:color w:val="000000" w:themeColor="text1"/>
                <w:lang w:val="es-CO"/>
              </w:rPr>
              <w:t xml:space="preserve">El agente liquidador de COOMEVA E.P.S </w:t>
            </w:r>
            <w:r w:rsidR="00852F7B" w:rsidRPr="00251BD4">
              <w:rPr>
                <w:rFonts w:ascii="Arial Narrow" w:hAnsi="Arial Narrow"/>
                <w:bCs/>
                <w:color w:val="000000" w:themeColor="text1"/>
                <w:lang w:val="es-CO"/>
              </w:rPr>
              <w:t>S. A</w:t>
            </w:r>
            <w:r w:rsidRPr="00251BD4">
              <w:rPr>
                <w:rFonts w:ascii="Arial Narrow" w:hAnsi="Arial Narrow"/>
                <w:bCs/>
                <w:color w:val="000000" w:themeColor="text1"/>
                <w:lang w:val="es-CO"/>
              </w:rPr>
              <w:t xml:space="preserve"> EN LIQUIDACION, mediante Resolución No. 009593 del 22 de diciembre de 2022, resolvió el recurso de reposición, cuya parte resolutiva ordenó: </w:t>
            </w:r>
          </w:p>
          <w:p w14:paraId="4ED814DF" w14:textId="77777777" w:rsidR="00F47026" w:rsidRPr="00F47026" w:rsidRDefault="00F47026" w:rsidP="00F47026">
            <w:pPr>
              <w:pStyle w:val="Prrafodelista"/>
              <w:rPr>
                <w:rFonts w:ascii="Arial Narrow" w:hAnsi="Arial Narrow"/>
                <w:bCs/>
                <w:color w:val="000000" w:themeColor="text1"/>
                <w:lang w:val="es-CO"/>
              </w:rPr>
            </w:pPr>
          </w:p>
          <w:p w14:paraId="57F430FC" w14:textId="77777777" w:rsidR="00F47026" w:rsidRDefault="00F47026" w:rsidP="00F47026">
            <w:pPr>
              <w:pStyle w:val="Prrafodelista"/>
              <w:ind w:left="786" w:right="567"/>
              <w:jc w:val="both"/>
              <w:rPr>
                <w:rFonts w:ascii="Arial Narrow" w:hAnsi="Arial Narrow"/>
                <w:bCs/>
                <w:color w:val="000000" w:themeColor="text1"/>
                <w:lang w:val="es-CO"/>
              </w:rPr>
            </w:pPr>
          </w:p>
          <w:p w14:paraId="08D2DD7E" w14:textId="76A01473" w:rsidR="00251BD4" w:rsidRPr="00F47026" w:rsidRDefault="00251BD4" w:rsidP="00F47026">
            <w:pPr>
              <w:pStyle w:val="Prrafodelista"/>
              <w:ind w:left="1014" w:right="567"/>
              <w:jc w:val="both"/>
              <w:rPr>
                <w:rFonts w:ascii="Arial Narrow" w:hAnsi="Arial Narrow"/>
                <w:bCs/>
                <w:i/>
                <w:iCs/>
                <w:color w:val="000000" w:themeColor="text1"/>
                <w:sz w:val="20"/>
                <w:szCs w:val="20"/>
                <w:lang w:val="es-CO"/>
              </w:rPr>
            </w:pPr>
            <w:r w:rsidRPr="00F47026">
              <w:rPr>
                <w:rFonts w:ascii="Arial Narrow" w:hAnsi="Arial Narrow"/>
                <w:bCs/>
                <w:i/>
                <w:iCs/>
                <w:color w:val="000000" w:themeColor="text1"/>
                <w:sz w:val="20"/>
                <w:szCs w:val="20"/>
                <w:lang w:val="es-CO"/>
              </w:rPr>
              <w:t xml:space="preserve">“(…) ARTÍCULO PRIMERO. CONFIRMAR la Resolución A-007549 DE 2022, “POR MEDIO DE LA CUAL SE EXCLUYE DE LA MASA UNA ACREENCIA PRESENTADA AL PROCESO LIQUIDATORIO DE COOMEVA EPS SA EN LIQUIDACION.” </w:t>
            </w:r>
          </w:p>
          <w:p w14:paraId="1C87D6E9" w14:textId="05AAC66F" w:rsidR="00251BD4" w:rsidRPr="00251BD4" w:rsidRDefault="00251BD4" w:rsidP="00F47026">
            <w:pPr>
              <w:pStyle w:val="Prrafodelista"/>
              <w:ind w:left="786" w:right="567"/>
              <w:jc w:val="both"/>
              <w:rPr>
                <w:rFonts w:ascii="Arial Narrow" w:hAnsi="Arial Narrow"/>
                <w:bCs/>
                <w:color w:val="000000" w:themeColor="text1"/>
                <w:lang w:val="es-CO"/>
              </w:rPr>
            </w:pPr>
          </w:p>
          <w:p w14:paraId="224C5B99" w14:textId="77777777" w:rsidR="00251BD4" w:rsidRPr="00251BD4" w:rsidRDefault="00251BD4" w:rsidP="00251BD4">
            <w:pPr>
              <w:pStyle w:val="Prrafodelista"/>
              <w:numPr>
                <w:ilvl w:val="1"/>
                <w:numId w:val="2"/>
              </w:numPr>
              <w:ind w:right="567"/>
              <w:jc w:val="both"/>
              <w:rPr>
                <w:rFonts w:ascii="Arial Narrow" w:hAnsi="Arial Narrow"/>
                <w:bCs/>
                <w:color w:val="000000" w:themeColor="text1"/>
                <w:lang w:val="es-CO"/>
              </w:rPr>
            </w:pPr>
            <w:r w:rsidRPr="00251BD4">
              <w:rPr>
                <w:rFonts w:ascii="Arial Narrow" w:hAnsi="Arial Narrow"/>
                <w:bCs/>
                <w:color w:val="000000" w:themeColor="text1"/>
                <w:lang w:val="es-CO"/>
              </w:rPr>
              <w:t xml:space="preserve">La Resolución A-009593 del 22 de diciembre de 2022, fue notificada de manera electrónica el pasado 12 de enero de 2023. </w:t>
            </w:r>
          </w:p>
          <w:p w14:paraId="6662C3D6" w14:textId="4BCEFE12" w:rsidR="00251BD4" w:rsidRPr="00251BD4" w:rsidRDefault="00251BD4" w:rsidP="001243F8">
            <w:pPr>
              <w:pStyle w:val="Prrafodelista"/>
              <w:ind w:left="786" w:right="567"/>
              <w:jc w:val="both"/>
              <w:rPr>
                <w:rFonts w:ascii="Arial Narrow" w:hAnsi="Arial Narrow"/>
                <w:bCs/>
                <w:color w:val="000000" w:themeColor="text1"/>
                <w:lang w:val="es-CO"/>
              </w:rPr>
            </w:pPr>
          </w:p>
          <w:p w14:paraId="4F9E03E3" w14:textId="3C68159F" w:rsidR="001243F8" w:rsidRDefault="00B01185" w:rsidP="001243F8">
            <w:pPr>
              <w:pStyle w:val="Prrafodelista"/>
              <w:numPr>
                <w:ilvl w:val="1"/>
                <w:numId w:val="2"/>
              </w:numPr>
              <w:ind w:right="567"/>
              <w:jc w:val="both"/>
              <w:rPr>
                <w:rFonts w:ascii="Arial Narrow" w:hAnsi="Arial Narrow"/>
                <w:bCs/>
                <w:color w:val="000000" w:themeColor="text1"/>
                <w:lang w:val="es-CO"/>
              </w:rPr>
            </w:pPr>
            <w:r>
              <w:rPr>
                <w:rFonts w:ascii="Arial Narrow" w:hAnsi="Arial Narrow"/>
                <w:bCs/>
                <w:color w:val="000000" w:themeColor="text1"/>
                <w:lang w:val="es-CO"/>
              </w:rPr>
              <w:t xml:space="preserve"> </w:t>
            </w:r>
            <w:r w:rsidR="00251BD4" w:rsidRPr="00251BD4">
              <w:rPr>
                <w:rFonts w:ascii="Arial Narrow" w:hAnsi="Arial Narrow"/>
                <w:bCs/>
                <w:color w:val="000000" w:themeColor="text1"/>
                <w:lang w:val="es-CO"/>
              </w:rPr>
              <w:t xml:space="preserve">El agente liquidador de COOMEVA EPS EN LIQUIDACION mediante la Resolución No. A-014235 del 11 de abril de 2023 “POR MEDIO DE LA CUAL SE EXCLUYE DE LA MASA UNA ACREENCIA PRESENTADA AL PROCESO LIQUIDATORIO DE COOMEVA EPS SA EN LIQUIDACION”, decidió: </w:t>
            </w:r>
          </w:p>
          <w:p w14:paraId="7C07FD05" w14:textId="77777777" w:rsidR="001243F8" w:rsidRPr="001243F8" w:rsidRDefault="001243F8" w:rsidP="001243F8">
            <w:pPr>
              <w:pStyle w:val="Prrafodelista"/>
              <w:rPr>
                <w:rFonts w:ascii="Arial Narrow" w:hAnsi="Arial Narrow"/>
                <w:bCs/>
                <w:color w:val="000000" w:themeColor="text1"/>
                <w:lang w:val="es-CO"/>
              </w:rPr>
            </w:pPr>
          </w:p>
          <w:p w14:paraId="0440916D" w14:textId="77777777" w:rsidR="001243F8" w:rsidRPr="00D5785A" w:rsidRDefault="00251BD4" w:rsidP="00D5785A">
            <w:pPr>
              <w:pStyle w:val="Prrafodelista"/>
              <w:ind w:left="1014" w:right="567"/>
              <w:jc w:val="both"/>
              <w:rPr>
                <w:rFonts w:ascii="Arial Narrow" w:hAnsi="Arial Narrow"/>
                <w:bCs/>
                <w:i/>
                <w:iCs/>
                <w:color w:val="000000" w:themeColor="text1"/>
                <w:sz w:val="20"/>
                <w:szCs w:val="20"/>
                <w:lang w:val="es-CO"/>
              </w:rPr>
            </w:pPr>
            <w:r w:rsidRPr="00D5785A">
              <w:rPr>
                <w:rFonts w:ascii="Arial Narrow" w:hAnsi="Arial Narrow"/>
                <w:bCs/>
                <w:i/>
                <w:iCs/>
                <w:color w:val="000000" w:themeColor="text1"/>
                <w:sz w:val="20"/>
                <w:szCs w:val="20"/>
                <w:lang w:val="es-CO"/>
              </w:rPr>
              <w:t xml:space="preserve">“ARTÍCULO PRIMERO. RECONOCER PARCIALMENTE la creencia presentada de manera Extemporánea por ADMINISTRADORA DE LOS RECURSOS DEL SISTEMA GENERAL DE SEGURIDAD SOCIAL EN SALUD (ADRES), identificado con NIT No. 901.037.916, por valor de DIEZ MIL DOSCIENTOS VEINTE MILLONES SETECIENTOS MIL CIENTO CUARENTA Y CUATRO PESOS MCTE ($10.220.700.144), así: PARÁGRAFO PRIMERO. Para la aceptación, rechazo total o rechazo parcial de la acreencia presentada se tuvo en cuenta si el valor reclamado cumplió con todos los requisitos formales de Ley en cuanto la presentación del crédito, así como el registro en la contabilidad de la entidad liquidada y demás requisitos legales y contractuales, tal como fue descrito en la parte considerativa del presente acto. </w:t>
            </w:r>
          </w:p>
          <w:p w14:paraId="52DAF72B" w14:textId="77777777" w:rsidR="00D5785A" w:rsidRPr="00D5785A" w:rsidRDefault="00D5785A" w:rsidP="00D5785A">
            <w:pPr>
              <w:ind w:left="1014" w:right="567"/>
              <w:jc w:val="both"/>
              <w:rPr>
                <w:rFonts w:ascii="Arial Narrow" w:hAnsi="Arial Narrow"/>
                <w:bCs/>
                <w:i/>
                <w:iCs/>
                <w:color w:val="000000" w:themeColor="text1"/>
                <w:sz w:val="20"/>
                <w:szCs w:val="20"/>
                <w:lang w:val="es-CO"/>
              </w:rPr>
            </w:pPr>
          </w:p>
          <w:p w14:paraId="163FE134" w14:textId="51A21A62" w:rsidR="001243F8" w:rsidRPr="00D5785A" w:rsidRDefault="00D5785A" w:rsidP="00D5785A">
            <w:pPr>
              <w:pStyle w:val="Prrafodelista"/>
              <w:ind w:left="1014" w:right="567"/>
              <w:jc w:val="center"/>
              <w:rPr>
                <w:rFonts w:ascii="Arial Narrow" w:hAnsi="Arial Narrow"/>
                <w:bCs/>
                <w:i/>
                <w:iCs/>
                <w:color w:val="000000" w:themeColor="text1"/>
                <w:sz w:val="20"/>
                <w:szCs w:val="20"/>
                <w:lang w:val="es-CO"/>
              </w:rPr>
            </w:pPr>
            <w:r w:rsidRPr="00D5785A">
              <w:rPr>
                <w:rFonts w:ascii="Arial Narrow" w:hAnsi="Arial Narrow"/>
                <w:bCs/>
                <w:i/>
                <w:iCs/>
                <w:noProof/>
                <w:color w:val="000000" w:themeColor="text1"/>
                <w:sz w:val="20"/>
                <w:szCs w:val="20"/>
                <w:lang w:val="es-CO"/>
              </w:rPr>
              <w:drawing>
                <wp:inline distT="0" distB="0" distL="0" distR="0" wp14:anchorId="7E942AA7" wp14:editId="7F1173E4">
                  <wp:extent cx="5844540" cy="622935"/>
                  <wp:effectExtent l="0" t="0" r="3810" b="5715"/>
                  <wp:docPr id="100072823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28230" name=""/>
                          <pic:cNvPicPr/>
                        </pic:nvPicPr>
                        <pic:blipFill rotWithShape="1">
                          <a:blip r:embed="rId12"/>
                          <a:srcRect t="10900"/>
                          <a:stretch/>
                        </pic:blipFill>
                        <pic:spPr bwMode="auto">
                          <a:xfrm>
                            <a:off x="0" y="0"/>
                            <a:ext cx="5844540" cy="622935"/>
                          </a:xfrm>
                          <a:prstGeom prst="rect">
                            <a:avLst/>
                          </a:prstGeom>
                          <a:ln>
                            <a:noFill/>
                          </a:ln>
                          <a:extLst>
                            <a:ext uri="{53640926-AAD7-44D8-BBD7-CCE9431645EC}">
                              <a14:shadowObscured xmlns:a14="http://schemas.microsoft.com/office/drawing/2010/main"/>
                            </a:ext>
                          </a:extLst>
                        </pic:spPr>
                      </pic:pic>
                    </a:graphicData>
                  </a:graphic>
                </wp:inline>
              </w:drawing>
            </w:r>
          </w:p>
          <w:p w14:paraId="7EA1BE81" w14:textId="77777777" w:rsidR="001243F8" w:rsidRPr="00D5785A" w:rsidRDefault="001243F8" w:rsidP="00D5785A">
            <w:pPr>
              <w:pStyle w:val="Prrafodelista"/>
              <w:ind w:left="1014" w:right="567"/>
              <w:jc w:val="both"/>
              <w:rPr>
                <w:rFonts w:ascii="Arial Narrow" w:hAnsi="Arial Narrow"/>
                <w:bCs/>
                <w:i/>
                <w:iCs/>
                <w:color w:val="000000" w:themeColor="text1"/>
                <w:sz w:val="20"/>
                <w:szCs w:val="20"/>
                <w:lang w:val="es-CO"/>
              </w:rPr>
            </w:pPr>
          </w:p>
          <w:p w14:paraId="0D8D19F2" w14:textId="77777777" w:rsidR="00D5785A" w:rsidRPr="00D5785A" w:rsidRDefault="00251BD4" w:rsidP="00D5785A">
            <w:pPr>
              <w:pStyle w:val="Prrafodelista"/>
              <w:ind w:left="1014" w:right="567"/>
              <w:jc w:val="both"/>
              <w:rPr>
                <w:rFonts w:ascii="Arial Narrow" w:hAnsi="Arial Narrow"/>
                <w:bCs/>
                <w:i/>
                <w:iCs/>
                <w:color w:val="000000" w:themeColor="text1"/>
                <w:sz w:val="20"/>
                <w:szCs w:val="20"/>
                <w:lang w:val="es-CO"/>
              </w:rPr>
            </w:pPr>
            <w:r w:rsidRPr="00D5785A">
              <w:rPr>
                <w:rFonts w:ascii="Arial Narrow" w:hAnsi="Arial Narrow"/>
                <w:bCs/>
                <w:i/>
                <w:iCs/>
                <w:color w:val="000000" w:themeColor="text1"/>
                <w:sz w:val="20"/>
                <w:szCs w:val="20"/>
                <w:lang w:val="es-CO"/>
              </w:rPr>
              <w:t xml:space="preserve">PARAGRAFO SEGUNDO. El valor aprobado sujeto a conciliación será objeto de modificación en los términos que indiquen las certificaciones y/o actas que se expidan por las mesas de mesas de conciliación y depuración que se realicen con la ADRES. </w:t>
            </w:r>
          </w:p>
          <w:p w14:paraId="36B34B2A" w14:textId="77777777" w:rsidR="00D5785A" w:rsidRPr="00D5785A" w:rsidRDefault="00D5785A" w:rsidP="00D5785A">
            <w:pPr>
              <w:pStyle w:val="Prrafodelista"/>
              <w:ind w:left="1014" w:right="567"/>
              <w:jc w:val="both"/>
              <w:rPr>
                <w:rFonts w:ascii="Arial Narrow" w:hAnsi="Arial Narrow"/>
                <w:bCs/>
                <w:i/>
                <w:iCs/>
                <w:color w:val="000000" w:themeColor="text1"/>
                <w:sz w:val="20"/>
                <w:szCs w:val="20"/>
                <w:lang w:val="es-CO"/>
              </w:rPr>
            </w:pPr>
          </w:p>
          <w:p w14:paraId="70FABFE2" w14:textId="77777777" w:rsidR="00D5785A" w:rsidRPr="00D5785A" w:rsidRDefault="00251BD4" w:rsidP="00D5785A">
            <w:pPr>
              <w:pStyle w:val="Prrafodelista"/>
              <w:ind w:left="1014" w:right="567"/>
              <w:jc w:val="both"/>
              <w:rPr>
                <w:rFonts w:ascii="Arial Narrow" w:hAnsi="Arial Narrow"/>
                <w:bCs/>
                <w:i/>
                <w:iCs/>
                <w:color w:val="000000" w:themeColor="text1"/>
                <w:sz w:val="20"/>
                <w:szCs w:val="20"/>
                <w:lang w:val="es-CO"/>
              </w:rPr>
            </w:pPr>
            <w:r w:rsidRPr="00D5785A">
              <w:rPr>
                <w:rFonts w:ascii="Arial Narrow" w:hAnsi="Arial Narrow"/>
                <w:bCs/>
                <w:i/>
                <w:iCs/>
                <w:color w:val="000000" w:themeColor="text1"/>
                <w:sz w:val="20"/>
                <w:szCs w:val="20"/>
                <w:lang w:val="es-CO"/>
              </w:rPr>
              <w:t xml:space="preserve">ARTÍCULO SEGUNDO. DEDUCIR del valor reconocido las sumas de dineros que el acreedor haya autorizado u obtenido en calidad de giro directo, anticipo, pago parcial o cualquier otro que se encuentre contabilizado. Así mismo, los demás a que haya lugar por concepto de impuestos, tasas, contribuciones, aportes parafiscales, estampillas, publicaciones y demás descuentos de Ley”. </w:t>
            </w:r>
          </w:p>
          <w:p w14:paraId="413EA9D1" w14:textId="77777777" w:rsidR="00D5785A" w:rsidRDefault="00D5785A" w:rsidP="00D5785A">
            <w:pPr>
              <w:pStyle w:val="Prrafodelista"/>
              <w:ind w:left="786" w:right="567"/>
              <w:jc w:val="both"/>
              <w:rPr>
                <w:rFonts w:ascii="Arial Narrow" w:hAnsi="Arial Narrow"/>
                <w:bCs/>
                <w:color w:val="000000" w:themeColor="text1"/>
                <w:lang w:val="es-CO"/>
              </w:rPr>
            </w:pPr>
          </w:p>
          <w:p w14:paraId="50C3AAD8" w14:textId="2A855B36" w:rsidR="00251BD4" w:rsidRDefault="00251BD4" w:rsidP="00251BD4">
            <w:pPr>
              <w:pStyle w:val="Prrafodelista"/>
              <w:numPr>
                <w:ilvl w:val="1"/>
                <w:numId w:val="2"/>
              </w:numPr>
              <w:ind w:right="567"/>
              <w:jc w:val="both"/>
              <w:rPr>
                <w:rFonts w:ascii="Arial Narrow" w:hAnsi="Arial Narrow"/>
                <w:bCs/>
                <w:color w:val="000000" w:themeColor="text1"/>
                <w:lang w:val="es-CO"/>
              </w:rPr>
            </w:pPr>
            <w:r w:rsidRPr="00251BD4">
              <w:rPr>
                <w:rFonts w:ascii="Arial Narrow" w:hAnsi="Arial Narrow"/>
                <w:bCs/>
                <w:color w:val="000000" w:themeColor="text1"/>
                <w:lang w:val="es-CO"/>
              </w:rPr>
              <w:t xml:space="preserve"> </w:t>
            </w:r>
            <w:r w:rsidR="0056470E">
              <w:t xml:space="preserve"> </w:t>
            </w:r>
            <w:r w:rsidR="0056470E" w:rsidRPr="0056470E">
              <w:rPr>
                <w:rFonts w:ascii="Arial Narrow" w:hAnsi="Arial Narrow"/>
                <w:bCs/>
                <w:color w:val="000000" w:themeColor="text1"/>
                <w:lang w:val="es-CO"/>
              </w:rPr>
              <w:t>La Resolución No. A-014235 del 11 de abril de 2023, fue notificada de manera electrónica el pasado 26 de abril de 2023.</w:t>
            </w:r>
          </w:p>
          <w:p w14:paraId="2D6FD187" w14:textId="77777777" w:rsidR="0056470E" w:rsidRDefault="0056470E" w:rsidP="0056470E">
            <w:pPr>
              <w:pStyle w:val="Prrafodelista"/>
              <w:ind w:left="786" w:right="567"/>
              <w:jc w:val="both"/>
              <w:rPr>
                <w:rFonts w:ascii="Arial Narrow" w:hAnsi="Arial Narrow"/>
                <w:bCs/>
                <w:color w:val="000000" w:themeColor="text1"/>
                <w:lang w:val="es-CO"/>
              </w:rPr>
            </w:pPr>
          </w:p>
          <w:p w14:paraId="7D7E0C5D" w14:textId="6C572987" w:rsidR="00251BD4" w:rsidRPr="0056470E" w:rsidRDefault="0056470E" w:rsidP="0056470E">
            <w:pPr>
              <w:pStyle w:val="Prrafodelista"/>
              <w:numPr>
                <w:ilvl w:val="1"/>
                <w:numId w:val="2"/>
              </w:numPr>
              <w:ind w:right="567"/>
              <w:jc w:val="both"/>
              <w:rPr>
                <w:rFonts w:ascii="Arial Narrow" w:hAnsi="Arial Narrow"/>
                <w:bCs/>
                <w:color w:val="000000" w:themeColor="text1"/>
                <w:lang w:val="es-CO"/>
              </w:rPr>
            </w:pPr>
            <w:r>
              <w:rPr>
                <w:rFonts w:ascii="Arial Narrow" w:hAnsi="Arial Narrow"/>
                <w:bCs/>
                <w:color w:val="000000" w:themeColor="text1"/>
                <w:lang w:val="es-CO"/>
              </w:rPr>
              <w:t xml:space="preserve"> </w:t>
            </w:r>
            <w:r w:rsidR="00251BD4" w:rsidRPr="0056470E">
              <w:rPr>
                <w:rFonts w:ascii="Arial Narrow" w:hAnsi="Arial Narrow"/>
                <w:bCs/>
                <w:color w:val="000000" w:themeColor="text1"/>
                <w:lang w:val="es-CO"/>
              </w:rPr>
              <w:t xml:space="preserve">El Agente Liquidador de COOMEVA E.P.S </w:t>
            </w:r>
            <w:r w:rsidRPr="0056470E">
              <w:rPr>
                <w:rFonts w:ascii="Arial Narrow" w:hAnsi="Arial Narrow"/>
                <w:bCs/>
                <w:color w:val="000000" w:themeColor="text1"/>
                <w:lang w:val="es-CO"/>
              </w:rPr>
              <w:t>S. A</w:t>
            </w:r>
            <w:r w:rsidR="00251BD4" w:rsidRPr="0056470E">
              <w:rPr>
                <w:rFonts w:ascii="Arial Narrow" w:hAnsi="Arial Narrow"/>
                <w:bCs/>
                <w:color w:val="000000" w:themeColor="text1"/>
                <w:lang w:val="es-CO"/>
              </w:rPr>
              <w:t xml:space="preserve"> EN LIQUIDACION ha omitido dar cumplimiento lo dispuesto en el artículo 12 de la Ley 1797 de 2016 y la Resolución 574 del 2017. </w:t>
            </w:r>
          </w:p>
          <w:p w14:paraId="67AD3B34" w14:textId="00125413" w:rsidR="00251BD4" w:rsidRPr="00251BD4" w:rsidRDefault="00251BD4" w:rsidP="00B01185">
            <w:pPr>
              <w:pStyle w:val="Prrafodelista"/>
              <w:ind w:left="786" w:right="567"/>
              <w:jc w:val="both"/>
              <w:rPr>
                <w:rFonts w:ascii="Arial Narrow" w:hAnsi="Arial Narrow"/>
                <w:bCs/>
                <w:color w:val="000000" w:themeColor="text1"/>
                <w:lang w:val="es-CO"/>
              </w:rPr>
            </w:pPr>
          </w:p>
          <w:p w14:paraId="7BC5179F" w14:textId="5A30122D" w:rsidR="00251BD4" w:rsidRPr="00251BD4" w:rsidRDefault="00B01185" w:rsidP="00251BD4">
            <w:pPr>
              <w:pStyle w:val="Prrafodelista"/>
              <w:numPr>
                <w:ilvl w:val="1"/>
                <w:numId w:val="2"/>
              </w:numPr>
              <w:ind w:right="567"/>
              <w:jc w:val="both"/>
              <w:rPr>
                <w:rFonts w:ascii="Arial Narrow" w:hAnsi="Arial Narrow"/>
                <w:bCs/>
                <w:color w:val="000000" w:themeColor="text1"/>
                <w:lang w:val="es-CO"/>
              </w:rPr>
            </w:pPr>
            <w:r>
              <w:rPr>
                <w:rFonts w:ascii="Arial Narrow" w:hAnsi="Arial Narrow"/>
                <w:bCs/>
                <w:color w:val="000000" w:themeColor="text1"/>
                <w:lang w:val="es-CO"/>
              </w:rPr>
              <w:t xml:space="preserve"> </w:t>
            </w:r>
            <w:r w:rsidR="00251BD4" w:rsidRPr="00251BD4">
              <w:rPr>
                <w:rFonts w:ascii="Arial Narrow" w:hAnsi="Arial Narrow"/>
                <w:bCs/>
                <w:color w:val="000000" w:themeColor="text1"/>
                <w:lang w:val="es-CO"/>
              </w:rPr>
              <w:t xml:space="preserve">La Superintendencia Nacional de Salud el 28 de enero del 2022 expidió la Circular Externa 2022151000000001-5 la cual indicó que los recursos a favor de la ADRES están excluidos de la masa de liquidación, así como también manifestó que la Resolución 574 del 2017 proferida por el Ministerio de Salud y Protección Social es un acto administrativo general, abstracto e impersonal que se encuentra vigente y es de obligatorio cumplimiento para los Agentes Liquidadores. </w:t>
            </w:r>
          </w:p>
          <w:p w14:paraId="532837E1" w14:textId="013627D0" w:rsidR="00251BD4" w:rsidRPr="00251BD4" w:rsidRDefault="00251BD4" w:rsidP="00B01185">
            <w:pPr>
              <w:pStyle w:val="Prrafodelista"/>
              <w:ind w:left="786" w:right="567"/>
              <w:jc w:val="both"/>
              <w:rPr>
                <w:rFonts w:ascii="Arial Narrow" w:hAnsi="Arial Narrow"/>
                <w:bCs/>
                <w:color w:val="000000" w:themeColor="text1"/>
                <w:lang w:val="es-CO"/>
              </w:rPr>
            </w:pPr>
          </w:p>
          <w:p w14:paraId="48F49C2A" w14:textId="15A2010D" w:rsidR="00251BD4" w:rsidRPr="00251BD4" w:rsidRDefault="00B01185" w:rsidP="00251BD4">
            <w:pPr>
              <w:pStyle w:val="Prrafodelista"/>
              <w:numPr>
                <w:ilvl w:val="1"/>
                <w:numId w:val="2"/>
              </w:numPr>
              <w:ind w:right="567"/>
              <w:jc w:val="both"/>
              <w:rPr>
                <w:rFonts w:ascii="Arial Narrow" w:hAnsi="Arial Narrow"/>
                <w:bCs/>
                <w:color w:val="000000" w:themeColor="text1"/>
                <w:lang w:val="es-CO"/>
              </w:rPr>
            </w:pPr>
            <w:r>
              <w:rPr>
                <w:rFonts w:ascii="Arial Narrow" w:hAnsi="Arial Narrow"/>
                <w:bCs/>
                <w:color w:val="000000" w:themeColor="text1"/>
                <w:lang w:val="es-CO"/>
              </w:rPr>
              <w:t xml:space="preserve"> </w:t>
            </w:r>
            <w:r w:rsidR="00251BD4" w:rsidRPr="00251BD4">
              <w:rPr>
                <w:rFonts w:ascii="Arial Narrow" w:hAnsi="Arial Narrow"/>
                <w:bCs/>
                <w:color w:val="000000" w:themeColor="text1"/>
                <w:lang w:val="es-CO"/>
              </w:rPr>
              <w:t xml:space="preserve">En el aparte final de dicha circular en el capítulo III. SANCIONES, dispone: “De conformidad con lo establecido los artículos 130 y 131 de la Ley 1438 de 2011, modificados por los artículos 2 y 3 de la Ley 1949 de 2019, la inobservancia e incumplimiento de las instrucciones impartidas en esta Circular, dará lugar al inicio de procesos administrativos sancionatorios, sin perjuicio de las demás responsabilidades disciplinarias, fiscales, penales o civiles que puedan derivarse y las sanciones que puedan imponer otras autoridades judiciales y/o administrativas”, no obstante dicho ente de inspección, vigilancia y control omitió respecto del caso que nos ocupa adelantar las sanciones descritas ante el desconocimiento del agente liquidador de las normas que lo obligan al reconocimiento y pagos de sumas que se adeudan al sistema.  </w:t>
            </w:r>
          </w:p>
          <w:p w14:paraId="6B17C089" w14:textId="030F02D4" w:rsidR="00251BD4" w:rsidRPr="00B01185" w:rsidRDefault="00251BD4" w:rsidP="00B01185">
            <w:pPr>
              <w:ind w:left="426" w:right="567"/>
              <w:jc w:val="both"/>
              <w:rPr>
                <w:rFonts w:ascii="Arial Narrow" w:hAnsi="Arial Narrow"/>
                <w:bCs/>
                <w:color w:val="000000" w:themeColor="text1"/>
                <w:lang w:val="es-CO"/>
              </w:rPr>
            </w:pPr>
          </w:p>
          <w:p w14:paraId="09423A57" w14:textId="531E8E04" w:rsidR="00251BD4" w:rsidRPr="00251BD4" w:rsidRDefault="00B01185" w:rsidP="00251BD4">
            <w:pPr>
              <w:pStyle w:val="Prrafodelista"/>
              <w:numPr>
                <w:ilvl w:val="1"/>
                <w:numId w:val="2"/>
              </w:numPr>
              <w:ind w:right="567"/>
              <w:jc w:val="both"/>
              <w:rPr>
                <w:rFonts w:ascii="Arial Narrow" w:hAnsi="Arial Narrow"/>
                <w:bCs/>
                <w:color w:val="000000" w:themeColor="text1"/>
                <w:lang w:val="es-CO"/>
              </w:rPr>
            </w:pPr>
            <w:r>
              <w:rPr>
                <w:rFonts w:ascii="Arial Narrow" w:hAnsi="Arial Narrow"/>
                <w:bCs/>
                <w:color w:val="000000" w:themeColor="text1"/>
                <w:lang w:val="es-CO"/>
              </w:rPr>
              <w:t xml:space="preserve"> </w:t>
            </w:r>
            <w:r w:rsidR="00251BD4" w:rsidRPr="00251BD4">
              <w:rPr>
                <w:rFonts w:ascii="Arial Narrow" w:hAnsi="Arial Narrow"/>
                <w:bCs/>
                <w:color w:val="000000" w:themeColor="text1"/>
                <w:lang w:val="es-CO"/>
              </w:rPr>
              <w:t xml:space="preserve">Así mismo la Superintendencia Nacional de Salud, ha omitido su deber de control y seguimiento de las actuaciones desplegadas por el Agente Especial </w:t>
            </w:r>
            <w:proofErr w:type="gramStart"/>
            <w:r w:rsidR="00251BD4" w:rsidRPr="00251BD4">
              <w:rPr>
                <w:rFonts w:ascii="Arial Narrow" w:hAnsi="Arial Narrow"/>
                <w:bCs/>
                <w:color w:val="000000" w:themeColor="text1"/>
                <w:lang w:val="es-CO"/>
              </w:rPr>
              <w:t>Liquidador</w:t>
            </w:r>
            <w:proofErr w:type="gramEnd"/>
            <w:r w:rsidR="00251BD4" w:rsidRPr="00251BD4">
              <w:rPr>
                <w:rFonts w:ascii="Arial Narrow" w:hAnsi="Arial Narrow"/>
                <w:bCs/>
                <w:color w:val="000000" w:themeColor="text1"/>
                <w:lang w:val="es-CO"/>
              </w:rPr>
              <w:t xml:space="preserve"> así como de los actos administrativos objeto del presente medio de control. </w:t>
            </w:r>
          </w:p>
          <w:p w14:paraId="65BD760B" w14:textId="77777777" w:rsidR="002E48DE" w:rsidRPr="0002243A" w:rsidRDefault="002E48DE" w:rsidP="0002243A">
            <w:pPr>
              <w:ind w:right="567"/>
              <w:jc w:val="both"/>
              <w:rPr>
                <w:rFonts w:ascii="Arial Narrow" w:hAnsi="Arial Narrow"/>
                <w:bCs/>
                <w:color w:val="000000" w:themeColor="text1"/>
                <w:lang w:val="es-CO"/>
              </w:rPr>
            </w:pPr>
          </w:p>
          <w:p w14:paraId="04DB1B32" w14:textId="77777777" w:rsidR="00BF38BD" w:rsidRPr="007F2B6C" w:rsidRDefault="00A826BD" w:rsidP="00461509">
            <w:pPr>
              <w:pStyle w:val="Prrafodelista"/>
              <w:numPr>
                <w:ilvl w:val="0"/>
                <w:numId w:val="2"/>
              </w:numPr>
              <w:ind w:left="836" w:right="567"/>
              <w:jc w:val="both"/>
              <w:rPr>
                <w:rFonts w:ascii="Arial Narrow" w:eastAsia="Calibri" w:hAnsi="Arial Narrow"/>
                <w:b/>
                <w:color w:val="000000" w:themeColor="text1"/>
                <w:lang w:val="es-CO"/>
              </w:rPr>
            </w:pPr>
            <w:r w:rsidRPr="007F2B6C">
              <w:rPr>
                <w:rFonts w:ascii="Arial Narrow" w:eastAsia="Calibri" w:hAnsi="Arial Narrow"/>
                <w:b/>
                <w:color w:val="000000" w:themeColor="text1"/>
                <w:lang w:val="es-CO"/>
              </w:rPr>
              <w:t>Pretensiones</w:t>
            </w:r>
          </w:p>
          <w:p w14:paraId="33F847BD" w14:textId="77777777" w:rsidR="00521ABA" w:rsidRPr="007F2B6C" w:rsidRDefault="00521ABA" w:rsidP="008103C5">
            <w:pPr>
              <w:ind w:right="458"/>
              <w:jc w:val="both"/>
              <w:rPr>
                <w:rFonts w:ascii="Arial Narrow" w:eastAsia="Calibri" w:hAnsi="Arial Narrow"/>
                <w:bCs/>
                <w:color w:val="000000" w:themeColor="text1"/>
                <w:lang w:val="es-CO"/>
              </w:rPr>
            </w:pPr>
          </w:p>
          <w:p w14:paraId="53334EB5" w14:textId="096909B4" w:rsidR="00C222BB" w:rsidRPr="00C222BB" w:rsidRDefault="00C222BB" w:rsidP="00C222BB">
            <w:pPr>
              <w:pStyle w:val="Prrafodelista"/>
              <w:numPr>
                <w:ilvl w:val="1"/>
                <w:numId w:val="2"/>
              </w:numPr>
              <w:ind w:right="567"/>
              <w:jc w:val="both"/>
              <w:rPr>
                <w:rFonts w:ascii="Arial Narrow" w:hAnsi="Arial Narrow"/>
                <w:bCs/>
                <w:i/>
                <w:iCs/>
                <w:color w:val="000000" w:themeColor="text1"/>
                <w:lang w:val="es-CO"/>
              </w:rPr>
            </w:pPr>
            <w:r w:rsidRPr="00C222BB">
              <w:rPr>
                <w:rFonts w:ascii="Arial Narrow" w:hAnsi="Arial Narrow"/>
                <w:bCs/>
                <w:color w:val="000000" w:themeColor="text1"/>
                <w:lang w:val="es-CO"/>
              </w:rPr>
              <w:t xml:space="preserve">Que se declare la nulidad de la Resolución No. A-007549 del 25 de octubre de 2022 </w:t>
            </w:r>
            <w:r w:rsidRPr="00C222BB">
              <w:rPr>
                <w:rFonts w:ascii="Arial Narrow" w:hAnsi="Arial Narrow"/>
                <w:bCs/>
                <w:i/>
                <w:iCs/>
                <w:color w:val="000000" w:themeColor="text1"/>
                <w:lang w:val="es-CO"/>
              </w:rPr>
              <w:t xml:space="preserve">“POR MEDIO DE LA CUAL SE EXCLUYE DE LA MASA UNA ACREENCIA PRESENTADA AL PROCESO LIQUIDATORIO DE COOMEVA EPS SA EN LIQUIDACION”. </w:t>
            </w:r>
          </w:p>
          <w:p w14:paraId="725F4BB2" w14:textId="1DA5F1DE" w:rsidR="00C222BB" w:rsidRPr="00C222BB" w:rsidRDefault="00C222BB" w:rsidP="00C222BB">
            <w:pPr>
              <w:pStyle w:val="Prrafodelista"/>
              <w:ind w:left="786" w:right="567"/>
              <w:jc w:val="both"/>
              <w:rPr>
                <w:rFonts w:ascii="Arial Narrow" w:hAnsi="Arial Narrow"/>
                <w:bCs/>
                <w:color w:val="000000" w:themeColor="text1"/>
                <w:lang w:val="es-CO"/>
              </w:rPr>
            </w:pPr>
          </w:p>
          <w:p w14:paraId="4CE7D29D" w14:textId="77777777" w:rsidR="00C222BB" w:rsidRPr="00C222BB" w:rsidRDefault="00C222BB" w:rsidP="00C222BB">
            <w:pPr>
              <w:pStyle w:val="Prrafodelista"/>
              <w:numPr>
                <w:ilvl w:val="1"/>
                <w:numId w:val="2"/>
              </w:numPr>
              <w:ind w:right="567"/>
              <w:jc w:val="both"/>
              <w:rPr>
                <w:rFonts w:ascii="Arial Narrow" w:hAnsi="Arial Narrow"/>
                <w:bCs/>
                <w:color w:val="000000" w:themeColor="text1"/>
                <w:lang w:val="es-CO"/>
              </w:rPr>
            </w:pPr>
            <w:r w:rsidRPr="00C222BB">
              <w:rPr>
                <w:rFonts w:ascii="Arial Narrow" w:hAnsi="Arial Narrow"/>
                <w:bCs/>
                <w:color w:val="000000" w:themeColor="text1"/>
                <w:lang w:val="es-CO"/>
              </w:rPr>
              <w:t xml:space="preserve">Que se declare la nulidad de la Resolución No. A-009593 del 22 de diciembre de 2022 </w:t>
            </w:r>
            <w:r w:rsidRPr="00C222BB">
              <w:rPr>
                <w:rFonts w:ascii="Arial Narrow" w:hAnsi="Arial Narrow"/>
                <w:bCs/>
                <w:i/>
                <w:iCs/>
                <w:color w:val="000000" w:themeColor="text1"/>
                <w:lang w:val="es-CO"/>
              </w:rPr>
              <w:t>“POR MEDIO DE LA CUAL SE RESUELVE EL RECURSO DE REPOSICIÓN PRESENTADO CONTRA LA RESOLUCIÓN No. A-007549 de 2022”.</w:t>
            </w:r>
            <w:r w:rsidRPr="00C222BB">
              <w:rPr>
                <w:rFonts w:ascii="Arial Narrow" w:hAnsi="Arial Narrow"/>
                <w:bCs/>
                <w:color w:val="000000" w:themeColor="text1"/>
                <w:lang w:val="es-CO"/>
              </w:rPr>
              <w:t xml:space="preserve"> </w:t>
            </w:r>
          </w:p>
          <w:p w14:paraId="7487C10D" w14:textId="023CA353" w:rsidR="00C222BB" w:rsidRPr="00C222BB" w:rsidRDefault="00C222BB" w:rsidP="00C222BB">
            <w:pPr>
              <w:pStyle w:val="Prrafodelista"/>
              <w:ind w:left="786" w:right="567"/>
              <w:jc w:val="both"/>
              <w:rPr>
                <w:rFonts w:ascii="Arial Narrow" w:hAnsi="Arial Narrow"/>
                <w:bCs/>
                <w:color w:val="000000" w:themeColor="text1"/>
                <w:lang w:val="es-CO"/>
              </w:rPr>
            </w:pPr>
          </w:p>
          <w:p w14:paraId="5C0B8689" w14:textId="22283FD0" w:rsidR="00C222BB" w:rsidRPr="00C222BB" w:rsidRDefault="00C222BB" w:rsidP="00C222BB">
            <w:pPr>
              <w:pStyle w:val="Prrafodelista"/>
              <w:numPr>
                <w:ilvl w:val="1"/>
                <w:numId w:val="2"/>
              </w:numPr>
              <w:ind w:right="567"/>
              <w:jc w:val="both"/>
              <w:rPr>
                <w:rFonts w:ascii="Arial Narrow" w:hAnsi="Arial Narrow"/>
                <w:bCs/>
                <w:color w:val="000000" w:themeColor="text1"/>
                <w:lang w:val="es-CO"/>
              </w:rPr>
            </w:pPr>
            <w:r w:rsidRPr="00C222BB">
              <w:rPr>
                <w:rFonts w:ascii="Arial Narrow" w:hAnsi="Arial Narrow"/>
                <w:bCs/>
                <w:color w:val="000000" w:themeColor="text1"/>
                <w:lang w:val="es-CO"/>
              </w:rPr>
              <w:t xml:space="preserve">Que se declare la nulidad de la Resolución No. A-014235 del 11 de abril de 2023 </w:t>
            </w:r>
            <w:r w:rsidRPr="00C222BB">
              <w:rPr>
                <w:rFonts w:ascii="Arial Narrow" w:hAnsi="Arial Narrow"/>
                <w:bCs/>
                <w:i/>
                <w:iCs/>
                <w:color w:val="000000" w:themeColor="text1"/>
                <w:lang w:val="es-CO"/>
              </w:rPr>
              <w:t xml:space="preserve">“POR MEDIO DE LA CUAL SE EXCLUYE DE LA MASA UNA ACREENCIA PRESENTADA AL PROCESO LIQUIDATORIO DE COOMEVA EPS SA EN LIQUIDACION”. </w:t>
            </w:r>
          </w:p>
          <w:p w14:paraId="41350DBC" w14:textId="7D24E28E" w:rsidR="00C222BB" w:rsidRPr="00C222BB" w:rsidRDefault="00C222BB" w:rsidP="00C222BB">
            <w:pPr>
              <w:pStyle w:val="Prrafodelista"/>
              <w:ind w:left="786" w:right="567"/>
              <w:jc w:val="both"/>
              <w:rPr>
                <w:rFonts w:ascii="Arial Narrow" w:hAnsi="Arial Narrow"/>
                <w:bCs/>
                <w:color w:val="000000" w:themeColor="text1"/>
                <w:lang w:val="es-CO"/>
              </w:rPr>
            </w:pPr>
          </w:p>
          <w:p w14:paraId="2B5CC894" w14:textId="77777777" w:rsidR="00C222BB" w:rsidRPr="00C222BB" w:rsidRDefault="00C222BB" w:rsidP="00C222BB">
            <w:pPr>
              <w:pStyle w:val="Prrafodelista"/>
              <w:numPr>
                <w:ilvl w:val="1"/>
                <w:numId w:val="2"/>
              </w:numPr>
              <w:ind w:right="567"/>
              <w:jc w:val="both"/>
              <w:rPr>
                <w:rFonts w:ascii="Arial Narrow" w:hAnsi="Arial Narrow"/>
                <w:bCs/>
                <w:color w:val="000000" w:themeColor="text1"/>
                <w:lang w:val="es-CO"/>
              </w:rPr>
            </w:pPr>
            <w:r w:rsidRPr="00C222BB">
              <w:rPr>
                <w:rFonts w:ascii="Arial Narrow" w:hAnsi="Arial Narrow"/>
                <w:bCs/>
                <w:color w:val="000000" w:themeColor="text1"/>
                <w:lang w:val="es-CO"/>
              </w:rPr>
              <w:t xml:space="preserve">Que, como consecuencia de lo anterior, y a título de restablecimiento del derecho se ordene a las partes demandadas COOMEVA EPS S.A. EN LIQUIDACIÓN, FELIPE NEGRET MOSQUERA en su condición de agente liquidador de aquella y a la SUPERINTENDENCIA NACIONAL DE SALUD aplicar y agotar el procedimiento descrito en el artículo 12 de la Ley 1797 de 2016 y Resolución 574 de 2017, para así culminar de manera satisfactoria el proceso de cierre y aclaración de los asuntos pendientes ante el entonces FOSYGA, hoy ADRES. </w:t>
            </w:r>
          </w:p>
          <w:p w14:paraId="2187A318" w14:textId="0B14532E" w:rsidR="00C222BB" w:rsidRPr="00C222BB" w:rsidRDefault="00C222BB" w:rsidP="00C222BB">
            <w:pPr>
              <w:pStyle w:val="Prrafodelista"/>
              <w:ind w:left="786" w:right="567"/>
              <w:jc w:val="both"/>
              <w:rPr>
                <w:rFonts w:ascii="Arial Narrow" w:hAnsi="Arial Narrow"/>
                <w:bCs/>
                <w:color w:val="000000" w:themeColor="text1"/>
                <w:lang w:val="es-CO"/>
              </w:rPr>
            </w:pPr>
          </w:p>
          <w:p w14:paraId="3004542E" w14:textId="77777777" w:rsidR="00C222BB" w:rsidRDefault="00C222BB" w:rsidP="00C222BB">
            <w:pPr>
              <w:pStyle w:val="Prrafodelista"/>
              <w:numPr>
                <w:ilvl w:val="1"/>
                <w:numId w:val="2"/>
              </w:numPr>
              <w:ind w:right="567"/>
              <w:jc w:val="both"/>
              <w:rPr>
                <w:rFonts w:ascii="Arial Narrow" w:hAnsi="Arial Narrow"/>
                <w:bCs/>
                <w:color w:val="000000" w:themeColor="text1"/>
                <w:lang w:val="es-CO"/>
              </w:rPr>
            </w:pPr>
            <w:r>
              <w:rPr>
                <w:rFonts w:ascii="Arial Narrow" w:hAnsi="Arial Narrow"/>
                <w:bCs/>
                <w:color w:val="000000" w:themeColor="text1"/>
                <w:lang w:val="es-CO"/>
              </w:rPr>
              <w:t>Que</w:t>
            </w:r>
            <w:r w:rsidRPr="00C222BB">
              <w:rPr>
                <w:rFonts w:ascii="Arial Narrow" w:hAnsi="Arial Narrow"/>
                <w:bCs/>
                <w:color w:val="000000" w:themeColor="text1"/>
                <w:lang w:val="es-CO"/>
              </w:rPr>
              <w:t xml:space="preserve"> a título de restablecimiento del derecho se declare que la parte demandada COOMEVA EPS S.A. EN LIQUIDACIÓN, FELIPE NEGRET MOSQUERA en su condición de agente liquidador de aquella y la SUPERINTENDENCIA NACIONAL DE SALUD debe reintegrar a la ADRES la suma de CIENTO DIECISEIS MIL QUINIENTOS TREINTA Y CINCO MILLONES SEISCIENTOS OCHENTA Y NUEVE MIL OCHOCIENTOS DOS PESOS SESENTA Y TRES CENTAVOS MCTE ($116.535.689.802,63), que corresponden a los siguientes conceptos:  </w:t>
            </w:r>
          </w:p>
          <w:p w14:paraId="311E3F2E" w14:textId="77777777" w:rsidR="00C222BB" w:rsidRPr="00C222BB" w:rsidRDefault="00C222BB" w:rsidP="00C222BB">
            <w:pPr>
              <w:pStyle w:val="Prrafodelista"/>
              <w:rPr>
                <w:rFonts w:ascii="Arial Narrow" w:hAnsi="Arial Narrow"/>
                <w:bCs/>
                <w:color w:val="000000" w:themeColor="text1"/>
                <w:lang w:val="es-CO"/>
              </w:rPr>
            </w:pPr>
          </w:p>
          <w:p w14:paraId="1981D692" w14:textId="77777777" w:rsidR="00C222BB" w:rsidRDefault="00C222BB" w:rsidP="00C222BB">
            <w:pPr>
              <w:pStyle w:val="Prrafodelista"/>
              <w:numPr>
                <w:ilvl w:val="0"/>
                <w:numId w:val="17"/>
              </w:numPr>
              <w:ind w:right="567"/>
              <w:jc w:val="both"/>
              <w:rPr>
                <w:rFonts w:ascii="Arial Narrow" w:hAnsi="Arial Narrow"/>
                <w:bCs/>
                <w:color w:val="000000" w:themeColor="text1"/>
                <w:lang w:val="es-CO"/>
              </w:rPr>
            </w:pPr>
            <w:r w:rsidRPr="00C222BB">
              <w:rPr>
                <w:rFonts w:ascii="Arial Narrow" w:hAnsi="Arial Narrow"/>
                <w:bCs/>
                <w:color w:val="000000" w:themeColor="text1"/>
                <w:lang w:val="es-CO"/>
              </w:rPr>
              <w:t xml:space="preserve">ONCE MIL NOVECIENTOS CUARENTA Y SEIS MILLONES CIENTO NOVENTA Y CUATRO MIL SETECIENTOS TREINTA PESOS OCHENTA NY SEIS CENTAVOS MC/TE ($11.946.194.730,86) por concepto de Reintegro de recursos del aseguramiento (DOP). </w:t>
            </w:r>
          </w:p>
          <w:p w14:paraId="27F5BCD4" w14:textId="77777777" w:rsidR="00C222BB" w:rsidRDefault="00C222BB" w:rsidP="00C222BB">
            <w:pPr>
              <w:pStyle w:val="Prrafodelista"/>
              <w:ind w:left="1146" w:right="567"/>
              <w:jc w:val="both"/>
              <w:rPr>
                <w:rFonts w:ascii="Arial Narrow" w:hAnsi="Arial Narrow"/>
                <w:bCs/>
                <w:color w:val="000000" w:themeColor="text1"/>
                <w:lang w:val="es-CO"/>
              </w:rPr>
            </w:pPr>
          </w:p>
          <w:p w14:paraId="2A3AA81C" w14:textId="77777777" w:rsidR="00C222BB" w:rsidRDefault="00C222BB" w:rsidP="00C222BB">
            <w:pPr>
              <w:pStyle w:val="Prrafodelista"/>
              <w:numPr>
                <w:ilvl w:val="0"/>
                <w:numId w:val="17"/>
              </w:numPr>
              <w:ind w:right="567"/>
              <w:jc w:val="both"/>
              <w:rPr>
                <w:rFonts w:ascii="Arial Narrow" w:hAnsi="Arial Narrow"/>
                <w:bCs/>
                <w:color w:val="000000" w:themeColor="text1"/>
                <w:lang w:val="es-CO"/>
              </w:rPr>
            </w:pPr>
            <w:r w:rsidRPr="00C222BB">
              <w:rPr>
                <w:rFonts w:ascii="Arial Narrow" w:hAnsi="Arial Narrow"/>
                <w:bCs/>
                <w:color w:val="000000" w:themeColor="text1"/>
                <w:lang w:val="es-CO"/>
              </w:rPr>
              <w:t xml:space="preserve">DIEZ MIL SETECIENTOS TREINTA Y OCHO MILLONES DOSCIENTOS SETENTA Y UN MIL QUINIENTOS CUARENTA Y DOS PESOS CON SESENTA CENTAVOS MC/TE ($10.738.271.542,60) por concepto de revisión recobros pagados a la EPS. </w:t>
            </w:r>
          </w:p>
          <w:p w14:paraId="27500CE5" w14:textId="77777777" w:rsidR="00C222BB" w:rsidRPr="00C222BB" w:rsidRDefault="00C222BB" w:rsidP="00C222BB">
            <w:pPr>
              <w:pStyle w:val="Prrafodelista"/>
              <w:rPr>
                <w:rFonts w:ascii="Arial Narrow" w:hAnsi="Arial Narrow"/>
                <w:bCs/>
                <w:color w:val="000000" w:themeColor="text1"/>
                <w:lang w:val="es-CO"/>
              </w:rPr>
            </w:pPr>
          </w:p>
          <w:p w14:paraId="5036B07A" w14:textId="77777777" w:rsidR="00C222BB" w:rsidRDefault="00C222BB" w:rsidP="00C222BB">
            <w:pPr>
              <w:pStyle w:val="Prrafodelista"/>
              <w:numPr>
                <w:ilvl w:val="0"/>
                <w:numId w:val="17"/>
              </w:numPr>
              <w:ind w:right="567"/>
              <w:jc w:val="both"/>
              <w:rPr>
                <w:rFonts w:ascii="Arial Narrow" w:hAnsi="Arial Narrow"/>
                <w:bCs/>
                <w:color w:val="000000" w:themeColor="text1"/>
                <w:lang w:val="es-CO"/>
              </w:rPr>
            </w:pPr>
            <w:r w:rsidRPr="00C222BB">
              <w:rPr>
                <w:rFonts w:ascii="Arial Narrow" w:hAnsi="Arial Narrow"/>
                <w:bCs/>
                <w:color w:val="000000" w:themeColor="text1"/>
                <w:lang w:val="es-CO"/>
              </w:rPr>
              <w:t xml:space="preserve">OCHENTA Y NUEVE MIL CIENTO NUEVE MILLONES QUINIENTOS CUARENTA Y CUATRO MIL DOSCIENTOS OCHENTA Y DOS PESOS CON TRES CENTAVOS ($89.109.544.282,03) por concepto de Giro Previo + Costos de Auditoría. </w:t>
            </w:r>
          </w:p>
          <w:p w14:paraId="5D1D16A7" w14:textId="77777777" w:rsidR="00C222BB" w:rsidRPr="00C222BB" w:rsidRDefault="00C222BB" w:rsidP="00C222BB">
            <w:pPr>
              <w:pStyle w:val="Prrafodelista"/>
              <w:rPr>
                <w:rFonts w:ascii="Arial Narrow" w:hAnsi="Arial Narrow"/>
                <w:bCs/>
                <w:color w:val="000000" w:themeColor="text1"/>
                <w:lang w:val="es-CO"/>
              </w:rPr>
            </w:pPr>
          </w:p>
          <w:p w14:paraId="3AB97B2F" w14:textId="34482EC3" w:rsidR="00C222BB" w:rsidRPr="00C222BB" w:rsidRDefault="00C222BB" w:rsidP="00C222BB">
            <w:pPr>
              <w:pStyle w:val="Prrafodelista"/>
              <w:numPr>
                <w:ilvl w:val="0"/>
                <w:numId w:val="17"/>
              </w:numPr>
              <w:ind w:right="567"/>
              <w:jc w:val="both"/>
              <w:rPr>
                <w:rFonts w:ascii="Arial Narrow" w:hAnsi="Arial Narrow"/>
                <w:bCs/>
                <w:color w:val="000000" w:themeColor="text1"/>
                <w:lang w:val="es-CO"/>
              </w:rPr>
            </w:pPr>
            <w:r w:rsidRPr="00C222BB">
              <w:rPr>
                <w:rFonts w:ascii="Arial Narrow" w:hAnsi="Arial Narrow"/>
                <w:bCs/>
                <w:color w:val="000000" w:themeColor="text1"/>
                <w:lang w:val="es-CO"/>
              </w:rPr>
              <w:t xml:space="preserve">CUATRO MIL SETECIENTOS CUARENTA Y UN MILLONES SEISCIENTOS SETENTA Y NUEVE MIL DOSCIENTOS CUARENTA Y SIETE PESOS CON CATORCE CENTAVOS ($4.741.679.247,14) por concepto de Giro Previo + Costos de Auditoría. </w:t>
            </w:r>
          </w:p>
          <w:p w14:paraId="78B77C62" w14:textId="5CDA8D38" w:rsidR="00C222BB" w:rsidRPr="00AA2796" w:rsidRDefault="00C222BB" w:rsidP="00AA2796">
            <w:pPr>
              <w:ind w:right="567"/>
              <w:jc w:val="both"/>
              <w:rPr>
                <w:rFonts w:ascii="Arial Narrow" w:hAnsi="Arial Narrow"/>
                <w:bCs/>
                <w:color w:val="000000" w:themeColor="text1"/>
                <w:lang w:val="es-CO"/>
              </w:rPr>
            </w:pPr>
          </w:p>
          <w:p w14:paraId="322BB24A" w14:textId="77777777" w:rsidR="00C222BB" w:rsidRPr="00C222BB" w:rsidRDefault="00C222BB" w:rsidP="00C222BB">
            <w:pPr>
              <w:pStyle w:val="Prrafodelista"/>
              <w:numPr>
                <w:ilvl w:val="1"/>
                <w:numId w:val="2"/>
              </w:numPr>
              <w:ind w:right="567"/>
              <w:jc w:val="both"/>
              <w:rPr>
                <w:rFonts w:ascii="Arial Narrow" w:hAnsi="Arial Narrow"/>
                <w:bCs/>
                <w:color w:val="000000" w:themeColor="text1"/>
                <w:lang w:val="es-CO"/>
              </w:rPr>
            </w:pPr>
            <w:r w:rsidRPr="00C222BB">
              <w:rPr>
                <w:rFonts w:ascii="Arial Narrow" w:hAnsi="Arial Narrow"/>
                <w:bCs/>
                <w:color w:val="000000" w:themeColor="text1"/>
                <w:lang w:val="es-CO"/>
              </w:rPr>
              <w:t xml:space="preserve">Que se condene a la COOMEVA EPS S.A. EN LIQUIDACIÓN, FELIPE NEGRET MOSQUERA en su condición de agente liquidador de aquella y a la SUPERINTENDENCIA NACIONAL DE SALUD a reconocer y pagar a favor de la ADRES, la actualización conforme a la variación del Índice de Precios al Consumidor (IPC). </w:t>
            </w:r>
          </w:p>
          <w:p w14:paraId="51638FEE" w14:textId="47A8D8BF" w:rsidR="00C222BB" w:rsidRPr="00C222BB" w:rsidRDefault="00C222BB" w:rsidP="00AA2796">
            <w:pPr>
              <w:pStyle w:val="Prrafodelista"/>
              <w:ind w:left="786" w:right="567"/>
              <w:jc w:val="both"/>
              <w:rPr>
                <w:rFonts w:ascii="Arial Narrow" w:hAnsi="Arial Narrow"/>
                <w:bCs/>
                <w:color w:val="000000" w:themeColor="text1"/>
                <w:lang w:val="es-CO"/>
              </w:rPr>
            </w:pPr>
          </w:p>
          <w:p w14:paraId="73958F80" w14:textId="77777777" w:rsidR="00C222BB" w:rsidRPr="00C222BB" w:rsidRDefault="00C222BB" w:rsidP="00C222BB">
            <w:pPr>
              <w:pStyle w:val="Prrafodelista"/>
              <w:numPr>
                <w:ilvl w:val="1"/>
                <w:numId w:val="2"/>
              </w:numPr>
              <w:ind w:right="567"/>
              <w:jc w:val="both"/>
              <w:rPr>
                <w:rFonts w:ascii="Arial Narrow" w:hAnsi="Arial Narrow"/>
                <w:bCs/>
                <w:color w:val="000000" w:themeColor="text1"/>
                <w:lang w:val="es-CO"/>
              </w:rPr>
            </w:pPr>
            <w:r w:rsidRPr="00C222BB">
              <w:rPr>
                <w:rFonts w:ascii="Arial Narrow" w:hAnsi="Arial Narrow"/>
                <w:bCs/>
                <w:color w:val="000000" w:themeColor="text1"/>
                <w:lang w:val="es-CO"/>
              </w:rPr>
              <w:t xml:space="preserve">Que se condene a la COOMEVA EPS S.A. EN LIQUIDACIÓN, FELIPE NEGRET MOSQUERA en su condición de </w:t>
            </w:r>
            <w:r w:rsidRPr="00C222BB">
              <w:rPr>
                <w:rFonts w:ascii="Arial Narrow" w:hAnsi="Arial Narrow"/>
                <w:bCs/>
                <w:color w:val="000000" w:themeColor="text1"/>
                <w:lang w:val="es-CO"/>
              </w:rPr>
              <w:lastRenderedPageBreak/>
              <w:t xml:space="preserve">agente liquidador de aquella y a la SUPERINTENDENCIA NACIONAL DE SALUD al pago de las costas y gastos que se originen en el presente proceso. </w:t>
            </w:r>
          </w:p>
          <w:p w14:paraId="7E71157D" w14:textId="1A832075" w:rsidR="00532A4A" w:rsidRPr="00AA2796" w:rsidRDefault="00532A4A" w:rsidP="00AA2796">
            <w:pPr>
              <w:ind w:right="567"/>
              <w:jc w:val="both"/>
              <w:rPr>
                <w:rFonts w:ascii="Arial Narrow" w:hAnsi="Arial Narrow"/>
                <w:bCs/>
                <w:color w:val="000000" w:themeColor="text1"/>
                <w:lang w:val="es-CO"/>
              </w:rPr>
            </w:pPr>
          </w:p>
          <w:p w14:paraId="1616B64C" w14:textId="45D1DC39" w:rsidR="009D509B" w:rsidRDefault="009D509B" w:rsidP="00461509">
            <w:pPr>
              <w:pStyle w:val="Prrafodelista"/>
              <w:numPr>
                <w:ilvl w:val="0"/>
                <w:numId w:val="2"/>
              </w:numPr>
              <w:ind w:left="836" w:right="567"/>
              <w:jc w:val="both"/>
              <w:rPr>
                <w:rFonts w:ascii="Arial Narrow" w:eastAsia="Calibri" w:hAnsi="Arial Narrow"/>
                <w:b/>
                <w:color w:val="000000" w:themeColor="text1"/>
                <w:lang w:val="es-CO"/>
              </w:rPr>
            </w:pPr>
            <w:r w:rsidRPr="007F2B6C">
              <w:rPr>
                <w:rFonts w:ascii="Arial Narrow" w:eastAsia="Calibri" w:hAnsi="Arial Narrow"/>
                <w:b/>
                <w:color w:val="000000" w:themeColor="text1"/>
                <w:lang w:val="es-CO"/>
              </w:rPr>
              <w:t>Soporte probatorio</w:t>
            </w:r>
          </w:p>
          <w:p w14:paraId="2E546F33" w14:textId="77777777" w:rsidR="008C005B" w:rsidRDefault="008C005B" w:rsidP="008C005B">
            <w:pPr>
              <w:pStyle w:val="Prrafodelista"/>
              <w:ind w:left="836" w:right="567"/>
              <w:jc w:val="both"/>
              <w:rPr>
                <w:rFonts w:ascii="Arial Narrow" w:eastAsia="Calibri" w:hAnsi="Arial Narrow"/>
                <w:b/>
                <w:color w:val="000000" w:themeColor="text1"/>
                <w:lang w:val="es-CO"/>
              </w:rPr>
            </w:pPr>
          </w:p>
          <w:p w14:paraId="3FDD899D" w14:textId="2BA051FA" w:rsidR="008C005B" w:rsidRPr="008C005B" w:rsidRDefault="008C005B" w:rsidP="008C005B">
            <w:pPr>
              <w:pStyle w:val="Prrafodelista"/>
              <w:ind w:left="836" w:right="567"/>
              <w:jc w:val="both"/>
              <w:rPr>
                <w:rFonts w:ascii="Arial Narrow" w:eastAsia="Calibri" w:hAnsi="Arial Narrow"/>
                <w:b/>
                <w:color w:val="000000" w:themeColor="text1"/>
                <w:u w:val="single"/>
                <w:lang w:val="es-CO"/>
              </w:rPr>
            </w:pPr>
            <w:r w:rsidRPr="008C005B">
              <w:rPr>
                <w:rFonts w:ascii="Arial Narrow" w:eastAsia="Calibri" w:hAnsi="Arial Narrow"/>
                <w:b/>
                <w:color w:val="000000" w:themeColor="text1"/>
                <w:u w:val="single"/>
                <w:lang w:val="es-CO"/>
              </w:rPr>
              <w:t>Parte Demandante</w:t>
            </w:r>
          </w:p>
          <w:p w14:paraId="7DA9A8B4" w14:textId="77777777" w:rsidR="008C005B" w:rsidRDefault="008C005B" w:rsidP="008C005B">
            <w:pPr>
              <w:pStyle w:val="Prrafodelista"/>
              <w:ind w:left="836" w:right="567"/>
              <w:jc w:val="both"/>
              <w:rPr>
                <w:rFonts w:ascii="Arial Narrow" w:eastAsia="Calibri" w:hAnsi="Arial Narrow"/>
                <w:b/>
                <w:color w:val="000000" w:themeColor="text1"/>
                <w:lang w:val="es-CO"/>
              </w:rPr>
            </w:pPr>
          </w:p>
          <w:p w14:paraId="2B886E35" w14:textId="3FD684D9" w:rsidR="008C005B" w:rsidRPr="008C005B" w:rsidRDefault="008C005B" w:rsidP="008C005B">
            <w:pPr>
              <w:pStyle w:val="Prrafodelista"/>
              <w:ind w:left="836" w:right="567"/>
              <w:jc w:val="both"/>
              <w:rPr>
                <w:rFonts w:ascii="Arial Narrow" w:eastAsia="Calibri" w:hAnsi="Arial Narrow"/>
                <w:b/>
                <w:color w:val="000000" w:themeColor="text1"/>
                <w:u w:val="single"/>
                <w:lang w:val="es-CO"/>
              </w:rPr>
            </w:pPr>
            <w:r w:rsidRPr="008C005B">
              <w:rPr>
                <w:rFonts w:ascii="Arial Narrow" w:eastAsia="Calibri" w:hAnsi="Arial Narrow"/>
                <w:b/>
                <w:color w:val="000000" w:themeColor="text1"/>
                <w:u w:val="single"/>
                <w:lang w:val="es-CO"/>
              </w:rPr>
              <w:t>ADRES:</w:t>
            </w:r>
          </w:p>
          <w:p w14:paraId="005C2F65" w14:textId="77777777" w:rsidR="009D509B" w:rsidRPr="008C005B" w:rsidRDefault="009D509B" w:rsidP="007F2B6C">
            <w:pPr>
              <w:pStyle w:val="TableParagraph"/>
              <w:tabs>
                <w:tab w:val="left" w:pos="584"/>
              </w:tabs>
              <w:ind w:left="567" w:right="567"/>
              <w:jc w:val="both"/>
              <w:rPr>
                <w:rFonts w:ascii="Arial Narrow" w:eastAsia="Calibri" w:hAnsi="Arial Narrow"/>
                <w:b/>
                <w:color w:val="000000" w:themeColor="text1"/>
                <w:lang w:val="es-CO"/>
              </w:rPr>
            </w:pPr>
            <w:r w:rsidRPr="008C005B">
              <w:rPr>
                <w:rFonts w:ascii="Arial Narrow" w:eastAsia="Calibri" w:hAnsi="Arial Narrow"/>
                <w:b/>
                <w:color w:val="000000" w:themeColor="text1"/>
                <w:lang w:val="es-CO"/>
              </w:rPr>
              <w:t xml:space="preserve"> </w:t>
            </w:r>
          </w:p>
          <w:p w14:paraId="0F22A7DC" w14:textId="77777777" w:rsidR="0048675A" w:rsidRPr="00D43F08" w:rsidRDefault="0048675A" w:rsidP="0048675A">
            <w:pPr>
              <w:pStyle w:val="TableParagraph"/>
              <w:numPr>
                <w:ilvl w:val="0"/>
                <w:numId w:val="16"/>
              </w:numPr>
              <w:tabs>
                <w:tab w:val="left" w:pos="584"/>
              </w:tabs>
              <w:ind w:right="567"/>
              <w:jc w:val="both"/>
              <w:rPr>
                <w:rFonts w:ascii="Arial Narrow" w:hAnsi="Arial Narrow"/>
                <w:b/>
                <w:bCs/>
              </w:rPr>
            </w:pPr>
            <w:r w:rsidRPr="00D43F08">
              <w:rPr>
                <w:rFonts w:ascii="Arial Narrow" w:hAnsi="Arial Narrow"/>
              </w:rPr>
              <w:t xml:space="preserve">Carpeta denominada “Giro previo”, que contiene los siguientes archivos: </w:t>
            </w:r>
          </w:p>
          <w:p w14:paraId="3F8E5666" w14:textId="77777777" w:rsidR="0048675A" w:rsidRDefault="0048675A" w:rsidP="0048675A">
            <w:pPr>
              <w:pStyle w:val="TableParagraph"/>
              <w:tabs>
                <w:tab w:val="left" w:pos="584"/>
              </w:tabs>
              <w:ind w:left="731" w:right="567"/>
              <w:jc w:val="both"/>
              <w:rPr>
                <w:rFonts w:ascii="Arial Narrow" w:hAnsi="Arial Narrow"/>
              </w:rPr>
            </w:pPr>
            <w:r w:rsidRPr="00D43F08">
              <w:rPr>
                <w:rFonts w:ascii="Arial Narrow" w:hAnsi="Arial Narrow"/>
              </w:rPr>
              <w:t xml:space="preserve">APF </w:t>
            </w:r>
            <w:proofErr w:type="gramStart"/>
            <w:r w:rsidRPr="00D43F08">
              <w:rPr>
                <w:rFonts w:ascii="Arial Narrow" w:hAnsi="Arial Narrow"/>
              </w:rPr>
              <w:t>PJ(</w:t>
            </w:r>
            <w:proofErr w:type="gramEnd"/>
            <w:r w:rsidRPr="00D43F08">
              <w:rPr>
                <w:rFonts w:ascii="Arial Narrow" w:hAnsi="Arial Narrow"/>
              </w:rPr>
              <w:t xml:space="preserve">noviembre de 2021). </w:t>
            </w:r>
          </w:p>
          <w:p w14:paraId="529558BA" w14:textId="77777777" w:rsidR="0048675A" w:rsidRDefault="0048675A" w:rsidP="0048675A">
            <w:pPr>
              <w:pStyle w:val="TableParagraph"/>
              <w:tabs>
                <w:tab w:val="left" w:pos="584"/>
              </w:tabs>
              <w:ind w:left="731" w:right="567"/>
              <w:jc w:val="both"/>
              <w:rPr>
                <w:rFonts w:ascii="Arial Narrow" w:hAnsi="Arial Narrow"/>
              </w:rPr>
            </w:pPr>
            <w:r w:rsidRPr="00D43F08">
              <w:rPr>
                <w:rFonts w:ascii="Arial Narrow" w:hAnsi="Arial Narrow"/>
              </w:rPr>
              <w:t xml:space="preserve">APF_PJ_0221. </w:t>
            </w:r>
          </w:p>
          <w:p w14:paraId="4679B0F6" w14:textId="77777777" w:rsidR="0048675A" w:rsidRDefault="0048675A" w:rsidP="0048675A">
            <w:pPr>
              <w:pStyle w:val="TableParagraph"/>
              <w:tabs>
                <w:tab w:val="left" w:pos="584"/>
              </w:tabs>
              <w:ind w:left="731" w:right="567"/>
              <w:jc w:val="both"/>
              <w:rPr>
                <w:rFonts w:ascii="Arial Narrow" w:hAnsi="Arial Narrow"/>
              </w:rPr>
            </w:pPr>
            <w:r w:rsidRPr="00D43F08">
              <w:rPr>
                <w:rFonts w:ascii="Arial Narrow" w:hAnsi="Arial Narrow"/>
              </w:rPr>
              <w:t xml:space="preserve">APF_PJ_0820. </w:t>
            </w:r>
          </w:p>
          <w:p w14:paraId="45869B98" w14:textId="77777777" w:rsidR="0048675A" w:rsidRDefault="0048675A" w:rsidP="0048675A">
            <w:pPr>
              <w:pStyle w:val="TableParagraph"/>
              <w:tabs>
                <w:tab w:val="left" w:pos="584"/>
              </w:tabs>
              <w:ind w:left="731" w:right="567"/>
              <w:jc w:val="both"/>
              <w:rPr>
                <w:rFonts w:ascii="Arial Narrow" w:hAnsi="Arial Narrow"/>
              </w:rPr>
            </w:pPr>
            <w:r w:rsidRPr="00D43F08">
              <w:rPr>
                <w:rFonts w:ascii="Arial Narrow" w:hAnsi="Arial Narrow"/>
              </w:rPr>
              <w:t xml:space="preserve">APF_PJ_0821-0921. </w:t>
            </w:r>
          </w:p>
          <w:p w14:paraId="580BE1F8" w14:textId="77777777" w:rsidR="0048675A" w:rsidRDefault="0048675A" w:rsidP="0048675A">
            <w:pPr>
              <w:pStyle w:val="TableParagraph"/>
              <w:tabs>
                <w:tab w:val="left" w:pos="584"/>
              </w:tabs>
              <w:ind w:left="731" w:right="567"/>
              <w:jc w:val="both"/>
              <w:rPr>
                <w:rFonts w:ascii="Arial Narrow" w:hAnsi="Arial Narrow"/>
              </w:rPr>
            </w:pPr>
            <w:r w:rsidRPr="00D43F08">
              <w:rPr>
                <w:rFonts w:ascii="Arial Narrow" w:hAnsi="Arial Narrow"/>
              </w:rPr>
              <w:t xml:space="preserve">APF_PJ_1020-1220. </w:t>
            </w:r>
          </w:p>
          <w:p w14:paraId="5AE8D96F" w14:textId="77777777" w:rsidR="0048675A" w:rsidRPr="00D43F08" w:rsidRDefault="0048675A" w:rsidP="0048675A">
            <w:pPr>
              <w:pStyle w:val="TableParagraph"/>
              <w:tabs>
                <w:tab w:val="left" w:pos="584"/>
              </w:tabs>
              <w:ind w:left="731" w:right="567"/>
              <w:jc w:val="both"/>
              <w:rPr>
                <w:rFonts w:ascii="Arial Narrow" w:hAnsi="Arial Narrow"/>
              </w:rPr>
            </w:pPr>
            <w:r w:rsidRPr="00D43F08">
              <w:rPr>
                <w:rFonts w:ascii="Arial Narrow" w:hAnsi="Arial Narrow"/>
              </w:rPr>
              <w:t xml:space="preserve">APF_RA_0521 - APF_0521 - APF_PJ_0521. </w:t>
            </w:r>
          </w:p>
          <w:p w14:paraId="31EA5835" w14:textId="77777777" w:rsidR="0048675A" w:rsidRPr="00D43F08" w:rsidRDefault="0048675A" w:rsidP="0048675A">
            <w:pPr>
              <w:pStyle w:val="TableParagraph"/>
              <w:tabs>
                <w:tab w:val="left" w:pos="584"/>
              </w:tabs>
              <w:ind w:left="731" w:right="567"/>
              <w:jc w:val="both"/>
              <w:rPr>
                <w:rFonts w:ascii="Arial Narrow" w:hAnsi="Arial Narrow"/>
              </w:rPr>
            </w:pPr>
            <w:r w:rsidRPr="00D43F08">
              <w:rPr>
                <w:rFonts w:ascii="Arial Narrow" w:hAnsi="Arial Narrow"/>
              </w:rPr>
              <w:t xml:space="preserve"> </w:t>
            </w:r>
          </w:p>
          <w:p w14:paraId="0646BDC7" w14:textId="77777777" w:rsidR="0048675A" w:rsidRDefault="0048675A" w:rsidP="0048675A">
            <w:pPr>
              <w:pStyle w:val="TableParagraph"/>
              <w:numPr>
                <w:ilvl w:val="0"/>
                <w:numId w:val="16"/>
              </w:numPr>
              <w:tabs>
                <w:tab w:val="left" w:pos="584"/>
              </w:tabs>
              <w:ind w:right="567"/>
              <w:jc w:val="both"/>
              <w:rPr>
                <w:rFonts w:ascii="Arial Narrow" w:hAnsi="Arial Narrow"/>
              </w:rPr>
            </w:pPr>
            <w:r w:rsidRPr="00D43F08">
              <w:rPr>
                <w:rFonts w:ascii="Arial Narrow" w:hAnsi="Arial Narrow"/>
              </w:rPr>
              <w:t xml:space="preserve">Carpeta denominada “Reintegro de recursos”, que contiene los siguientes archivos: </w:t>
            </w:r>
          </w:p>
          <w:p w14:paraId="62EB2A92" w14:textId="77777777" w:rsidR="0048675A" w:rsidRDefault="0048675A" w:rsidP="0048675A">
            <w:pPr>
              <w:pStyle w:val="TableParagraph"/>
              <w:tabs>
                <w:tab w:val="left" w:pos="584"/>
              </w:tabs>
              <w:ind w:left="731" w:right="567"/>
              <w:jc w:val="both"/>
              <w:rPr>
                <w:rFonts w:ascii="Arial Narrow" w:hAnsi="Arial Narrow"/>
              </w:rPr>
            </w:pPr>
            <w:r w:rsidRPr="00D43F08">
              <w:rPr>
                <w:rFonts w:ascii="Arial Narrow" w:hAnsi="Arial Narrow"/>
              </w:rPr>
              <w:t xml:space="preserve">Solicitud de Aclaración Coomeva – 20211600734541. </w:t>
            </w:r>
          </w:p>
          <w:p w14:paraId="72CD147A" w14:textId="77777777" w:rsidR="0048675A" w:rsidRDefault="0048675A" w:rsidP="0048675A">
            <w:pPr>
              <w:pStyle w:val="TableParagraph"/>
              <w:tabs>
                <w:tab w:val="left" w:pos="584"/>
              </w:tabs>
              <w:ind w:left="731" w:right="567"/>
              <w:jc w:val="both"/>
              <w:rPr>
                <w:rFonts w:ascii="Arial Narrow" w:hAnsi="Arial Narrow"/>
              </w:rPr>
            </w:pPr>
            <w:r w:rsidRPr="00D43F08">
              <w:rPr>
                <w:rFonts w:ascii="Arial Narrow" w:hAnsi="Arial Narrow"/>
              </w:rPr>
              <w:t>Solicitud de Aclaración Coomeva – 20221600362931</w:t>
            </w:r>
          </w:p>
          <w:p w14:paraId="40978CAC" w14:textId="77777777" w:rsidR="0048675A" w:rsidRDefault="0048675A" w:rsidP="0048675A">
            <w:pPr>
              <w:pStyle w:val="TableParagraph"/>
              <w:tabs>
                <w:tab w:val="left" w:pos="584"/>
              </w:tabs>
              <w:ind w:left="731" w:right="567"/>
              <w:jc w:val="both"/>
              <w:rPr>
                <w:rFonts w:ascii="Arial Narrow" w:hAnsi="Arial Narrow"/>
              </w:rPr>
            </w:pPr>
            <w:r w:rsidRPr="00D43F08">
              <w:rPr>
                <w:rFonts w:ascii="Arial Narrow" w:hAnsi="Arial Narrow"/>
              </w:rPr>
              <w:t>Solicitud de Aclaración Coomeva – 20221601651841.</w:t>
            </w:r>
          </w:p>
          <w:p w14:paraId="10FC822C" w14:textId="77777777" w:rsidR="0048675A" w:rsidRDefault="0048675A" w:rsidP="0048675A">
            <w:pPr>
              <w:pStyle w:val="TableParagraph"/>
              <w:tabs>
                <w:tab w:val="left" w:pos="584"/>
              </w:tabs>
              <w:ind w:left="731" w:right="567"/>
              <w:jc w:val="both"/>
              <w:rPr>
                <w:rFonts w:ascii="Arial Narrow" w:hAnsi="Arial Narrow"/>
              </w:rPr>
            </w:pPr>
          </w:p>
          <w:p w14:paraId="421A83BD" w14:textId="77777777" w:rsidR="0048675A" w:rsidRDefault="0048675A" w:rsidP="0048675A">
            <w:pPr>
              <w:pStyle w:val="TableParagraph"/>
              <w:numPr>
                <w:ilvl w:val="0"/>
                <w:numId w:val="16"/>
              </w:numPr>
              <w:tabs>
                <w:tab w:val="left" w:pos="584"/>
              </w:tabs>
              <w:ind w:right="567"/>
              <w:jc w:val="both"/>
              <w:rPr>
                <w:rFonts w:ascii="Arial Narrow" w:hAnsi="Arial Narrow"/>
              </w:rPr>
            </w:pPr>
            <w:r>
              <w:rPr>
                <w:rFonts w:ascii="Arial Narrow" w:hAnsi="Arial Narrow"/>
              </w:rPr>
              <w:t>R</w:t>
            </w:r>
            <w:r w:rsidRPr="00D43F08">
              <w:rPr>
                <w:rFonts w:ascii="Arial Narrow" w:hAnsi="Arial Narrow"/>
              </w:rPr>
              <w:t xml:space="preserve">esolución No. 2022320000000189-6 de 25 de enero de 2022, de la Superintendencia Nacional de Salud. </w:t>
            </w:r>
          </w:p>
          <w:p w14:paraId="0E3CB484" w14:textId="77777777" w:rsidR="0048675A" w:rsidRDefault="0048675A" w:rsidP="0048675A">
            <w:pPr>
              <w:pStyle w:val="TableParagraph"/>
              <w:tabs>
                <w:tab w:val="left" w:pos="584"/>
              </w:tabs>
              <w:ind w:left="731" w:right="567"/>
              <w:jc w:val="both"/>
              <w:rPr>
                <w:rFonts w:ascii="Arial Narrow" w:hAnsi="Arial Narrow"/>
              </w:rPr>
            </w:pPr>
          </w:p>
          <w:p w14:paraId="49E5F109" w14:textId="77777777" w:rsidR="0048675A" w:rsidRDefault="0048675A" w:rsidP="0048675A">
            <w:pPr>
              <w:pStyle w:val="TableParagraph"/>
              <w:numPr>
                <w:ilvl w:val="0"/>
                <w:numId w:val="16"/>
              </w:numPr>
              <w:tabs>
                <w:tab w:val="left" w:pos="584"/>
              </w:tabs>
              <w:ind w:right="567"/>
              <w:jc w:val="both"/>
              <w:rPr>
                <w:rFonts w:ascii="Arial Narrow" w:hAnsi="Arial Narrow"/>
              </w:rPr>
            </w:pPr>
            <w:r w:rsidRPr="00D43F08">
              <w:rPr>
                <w:rFonts w:ascii="Arial Narrow" w:hAnsi="Arial Narrow"/>
              </w:rPr>
              <w:t xml:space="preserve">Acta de posesión OL-L-001-2022 del 25 de enero de 2022. </w:t>
            </w:r>
          </w:p>
          <w:p w14:paraId="155CD23E" w14:textId="77777777" w:rsidR="0048675A" w:rsidRDefault="0048675A" w:rsidP="0048675A">
            <w:pPr>
              <w:pStyle w:val="Prrafodelista"/>
              <w:ind w:left="731"/>
              <w:rPr>
                <w:rFonts w:ascii="Arial Narrow" w:hAnsi="Arial Narrow"/>
              </w:rPr>
            </w:pPr>
          </w:p>
          <w:p w14:paraId="24FA648D" w14:textId="77777777" w:rsidR="0048675A" w:rsidRDefault="0048675A" w:rsidP="0048675A">
            <w:pPr>
              <w:pStyle w:val="TableParagraph"/>
              <w:numPr>
                <w:ilvl w:val="0"/>
                <w:numId w:val="16"/>
              </w:numPr>
              <w:tabs>
                <w:tab w:val="left" w:pos="584"/>
              </w:tabs>
              <w:ind w:right="567"/>
              <w:jc w:val="both"/>
              <w:rPr>
                <w:rFonts w:ascii="Arial Narrow" w:hAnsi="Arial Narrow"/>
              </w:rPr>
            </w:pPr>
            <w:r w:rsidRPr="00D43F08">
              <w:rPr>
                <w:rFonts w:ascii="Arial Narrow" w:hAnsi="Arial Narrow"/>
              </w:rPr>
              <w:t xml:space="preserve">Resolución No. A-007549 del 25 de octubre de 2022 “POR MEDIO DE LA CUAL SE EXCLUYE DE LA MASA UNA ACREENCIA PRESENTADA AL PROCESO LIQUIDATORIO DE COOMEVA EPS SA EN LIQUIDACION”. </w:t>
            </w:r>
          </w:p>
          <w:p w14:paraId="34F02866" w14:textId="77777777" w:rsidR="0048675A" w:rsidRDefault="0048675A" w:rsidP="0048675A">
            <w:pPr>
              <w:pStyle w:val="Prrafodelista"/>
              <w:ind w:left="731"/>
              <w:rPr>
                <w:rFonts w:ascii="Arial Narrow" w:hAnsi="Arial Narrow"/>
              </w:rPr>
            </w:pPr>
          </w:p>
          <w:p w14:paraId="7C4AAD37" w14:textId="77777777" w:rsidR="0048675A" w:rsidRDefault="0048675A" w:rsidP="0048675A">
            <w:pPr>
              <w:pStyle w:val="TableParagraph"/>
              <w:numPr>
                <w:ilvl w:val="0"/>
                <w:numId w:val="16"/>
              </w:numPr>
              <w:tabs>
                <w:tab w:val="left" w:pos="584"/>
              </w:tabs>
              <w:ind w:right="567"/>
              <w:jc w:val="both"/>
              <w:rPr>
                <w:rFonts w:ascii="Arial Narrow" w:hAnsi="Arial Narrow"/>
              </w:rPr>
            </w:pPr>
            <w:r w:rsidRPr="00D43F08">
              <w:rPr>
                <w:rFonts w:ascii="Arial Narrow" w:hAnsi="Arial Narrow"/>
              </w:rPr>
              <w:t xml:space="preserve">Recurso de reposición interpuesto en contra de la Resolución No. A007549 del 25 de octubre de 2022. </w:t>
            </w:r>
          </w:p>
          <w:p w14:paraId="57E400DA" w14:textId="77777777" w:rsidR="0048675A" w:rsidRDefault="0048675A" w:rsidP="0048675A">
            <w:pPr>
              <w:pStyle w:val="Prrafodelista"/>
              <w:rPr>
                <w:rFonts w:ascii="Arial Narrow" w:hAnsi="Arial Narrow"/>
              </w:rPr>
            </w:pPr>
          </w:p>
          <w:p w14:paraId="61019E5C" w14:textId="77777777" w:rsidR="0048675A" w:rsidRDefault="0048675A" w:rsidP="0048675A">
            <w:pPr>
              <w:pStyle w:val="TableParagraph"/>
              <w:numPr>
                <w:ilvl w:val="0"/>
                <w:numId w:val="16"/>
              </w:numPr>
              <w:tabs>
                <w:tab w:val="left" w:pos="584"/>
              </w:tabs>
              <w:ind w:right="567"/>
              <w:jc w:val="both"/>
              <w:rPr>
                <w:rFonts w:ascii="Arial Narrow" w:hAnsi="Arial Narrow"/>
              </w:rPr>
            </w:pPr>
            <w:r w:rsidRPr="00D43F08">
              <w:rPr>
                <w:rFonts w:ascii="Arial Narrow" w:hAnsi="Arial Narrow"/>
              </w:rPr>
              <w:t xml:space="preserve">Resolución No. A-009593 del 22 de diciembre de 2022 </w:t>
            </w:r>
            <w:r w:rsidRPr="00D43F08">
              <w:rPr>
                <w:rFonts w:ascii="Arial Narrow" w:hAnsi="Arial Narrow"/>
                <w:i/>
                <w:iCs/>
              </w:rPr>
              <w:t>“POR MEDIO DE LA CUAL SE RESUELVE EL RECURSO DE REPOSICIÓN PRESENTADO CONTRA LA RESOLUCIÓN No. A-007549 de 2022”.</w:t>
            </w:r>
            <w:r w:rsidRPr="00D43F08">
              <w:rPr>
                <w:rFonts w:ascii="Arial Narrow" w:hAnsi="Arial Narrow"/>
              </w:rPr>
              <w:t xml:space="preserve"> </w:t>
            </w:r>
          </w:p>
          <w:p w14:paraId="1625103B" w14:textId="77777777" w:rsidR="0048675A" w:rsidRDefault="0048675A" w:rsidP="0048675A">
            <w:pPr>
              <w:pStyle w:val="Prrafodelista"/>
              <w:rPr>
                <w:rFonts w:ascii="Arial Narrow" w:hAnsi="Arial Narrow"/>
              </w:rPr>
            </w:pPr>
          </w:p>
          <w:p w14:paraId="26EC74FC" w14:textId="77777777" w:rsidR="0048675A" w:rsidRDefault="0048675A" w:rsidP="0048675A">
            <w:pPr>
              <w:pStyle w:val="TableParagraph"/>
              <w:numPr>
                <w:ilvl w:val="0"/>
                <w:numId w:val="16"/>
              </w:numPr>
              <w:tabs>
                <w:tab w:val="left" w:pos="584"/>
              </w:tabs>
              <w:ind w:right="567"/>
              <w:jc w:val="both"/>
              <w:rPr>
                <w:rFonts w:ascii="Arial Narrow" w:hAnsi="Arial Narrow"/>
              </w:rPr>
            </w:pPr>
            <w:r w:rsidRPr="00D43F08">
              <w:rPr>
                <w:rFonts w:ascii="Arial Narrow" w:hAnsi="Arial Narrow"/>
              </w:rPr>
              <w:t xml:space="preserve">Resolución No. A-014235 del 11 de abril de 2023 “POR MEDIO DE LA CUAL SE EXCLUYE DE LA MASA UNA ACREENCIA PRESENTADA AL PROCESO LIQUIDATORIO DE COOMEVA EPS SA EN LIQUIDACION”. </w:t>
            </w:r>
          </w:p>
          <w:p w14:paraId="5850C14F" w14:textId="77777777" w:rsidR="0048675A" w:rsidRDefault="0048675A" w:rsidP="0048675A">
            <w:pPr>
              <w:pStyle w:val="Prrafodelista"/>
              <w:rPr>
                <w:rFonts w:ascii="Arial Narrow" w:hAnsi="Arial Narrow"/>
              </w:rPr>
            </w:pPr>
          </w:p>
          <w:p w14:paraId="2D14E4C4" w14:textId="77777777" w:rsidR="0048675A" w:rsidRDefault="0048675A" w:rsidP="0048675A">
            <w:pPr>
              <w:pStyle w:val="TableParagraph"/>
              <w:numPr>
                <w:ilvl w:val="0"/>
                <w:numId w:val="16"/>
              </w:numPr>
              <w:tabs>
                <w:tab w:val="left" w:pos="584"/>
              </w:tabs>
              <w:ind w:right="567"/>
              <w:jc w:val="both"/>
              <w:rPr>
                <w:rFonts w:ascii="Arial Narrow" w:hAnsi="Arial Narrow"/>
              </w:rPr>
            </w:pPr>
            <w:r w:rsidRPr="00D43F08">
              <w:rPr>
                <w:rFonts w:ascii="Arial Narrow" w:hAnsi="Arial Narrow"/>
              </w:rPr>
              <w:t xml:space="preserve">Correo de notificación de la Resolución No. A-009593 del 22 de diciembre de 2022. </w:t>
            </w:r>
          </w:p>
          <w:p w14:paraId="159910B7" w14:textId="77777777" w:rsidR="0048675A" w:rsidRDefault="0048675A" w:rsidP="0048675A">
            <w:pPr>
              <w:pStyle w:val="Prrafodelista"/>
              <w:rPr>
                <w:rFonts w:ascii="Arial Narrow" w:hAnsi="Arial Narrow"/>
              </w:rPr>
            </w:pPr>
          </w:p>
          <w:p w14:paraId="2C230A55" w14:textId="77777777" w:rsidR="0048675A" w:rsidRDefault="0048675A" w:rsidP="0048675A">
            <w:pPr>
              <w:pStyle w:val="TableParagraph"/>
              <w:numPr>
                <w:ilvl w:val="0"/>
                <w:numId w:val="16"/>
              </w:numPr>
              <w:tabs>
                <w:tab w:val="left" w:pos="584"/>
              </w:tabs>
              <w:ind w:right="567"/>
              <w:jc w:val="both"/>
              <w:rPr>
                <w:rFonts w:ascii="Arial Narrow" w:hAnsi="Arial Narrow"/>
              </w:rPr>
            </w:pPr>
            <w:r w:rsidRPr="00D43F08">
              <w:rPr>
                <w:rFonts w:ascii="Arial Narrow" w:hAnsi="Arial Narrow"/>
              </w:rPr>
              <w:t xml:space="preserve">Circular Externa 2022151000000001-5 del 28 de enero de 2022, expedida por la Superintendencia Nacional de Salud. </w:t>
            </w:r>
          </w:p>
          <w:p w14:paraId="57502E27" w14:textId="77777777" w:rsidR="0048675A" w:rsidRDefault="0048675A" w:rsidP="0048675A">
            <w:pPr>
              <w:pStyle w:val="Prrafodelista"/>
              <w:rPr>
                <w:rFonts w:ascii="Arial Narrow" w:hAnsi="Arial Narrow"/>
              </w:rPr>
            </w:pPr>
          </w:p>
          <w:p w14:paraId="3A076EC0" w14:textId="77777777" w:rsidR="0048675A" w:rsidRPr="00D43F08" w:rsidRDefault="0048675A" w:rsidP="0048675A">
            <w:pPr>
              <w:pStyle w:val="TableParagraph"/>
              <w:numPr>
                <w:ilvl w:val="0"/>
                <w:numId w:val="16"/>
              </w:numPr>
              <w:tabs>
                <w:tab w:val="left" w:pos="584"/>
              </w:tabs>
              <w:ind w:right="567"/>
              <w:jc w:val="both"/>
              <w:rPr>
                <w:rFonts w:ascii="Arial Narrow" w:hAnsi="Arial Narrow"/>
              </w:rPr>
            </w:pPr>
            <w:r w:rsidRPr="00D43F08">
              <w:rPr>
                <w:rFonts w:ascii="Arial Narrow" w:hAnsi="Arial Narrow"/>
              </w:rPr>
              <w:t xml:space="preserve">Certificado de existencia y representación legal de COOMEVA EPS EN LIQUIDACION.  </w:t>
            </w:r>
          </w:p>
          <w:p w14:paraId="4A309AC2" w14:textId="77777777" w:rsidR="0048675A" w:rsidRPr="00D43F08" w:rsidRDefault="0048675A" w:rsidP="0048675A">
            <w:pPr>
              <w:pStyle w:val="TableParagraph"/>
              <w:tabs>
                <w:tab w:val="left" w:pos="584"/>
              </w:tabs>
              <w:ind w:left="786" w:right="567"/>
              <w:jc w:val="both"/>
              <w:rPr>
                <w:rFonts w:ascii="Arial Narrow" w:hAnsi="Arial Narrow"/>
              </w:rPr>
            </w:pPr>
          </w:p>
          <w:p w14:paraId="45ADEA9B" w14:textId="77777777" w:rsidR="0048675A" w:rsidRDefault="0048675A" w:rsidP="0048675A">
            <w:pPr>
              <w:pStyle w:val="TableParagraph"/>
              <w:tabs>
                <w:tab w:val="left" w:pos="584"/>
              </w:tabs>
              <w:ind w:left="447" w:right="567"/>
              <w:jc w:val="both"/>
              <w:rPr>
                <w:rFonts w:ascii="Arial Narrow" w:hAnsi="Arial Narrow"/>
                <w:b/>
                <w:bCs/>
              </w:rPr>
            </w:pPr>
            <w:r w:rsidRPr="00D43F08">
              <w:rPr>
                <w:rFonts w:ascii="Arial Narrow" w:hAnsi="Arial Narrow"/>
                <w:b/>
                <w:bCs/>
              </w:rPr>
              <w:t xml:space="preserve">TESTIMONIALES: </w:t>
            </w:r>
          </w:p>
          <w:p w14:paraId="3C0E05E4" w14:textId="77777777" w:rsidR="0048675A" w:rsidRDefault="0048675A" w:rsidP="0048675A">
            <w:pPr>
              <w:pStyle w:val="TableParagraph"/>
              <w:tabs>
                <w:tab w:val="left" w:pos="584"/>
              </w:tabs>
              <w:ind w:left="447" w:right="567"/>
              <w:jc w:val="both"/>
              <w:rPr>
                <w:rFonts w:ascii="Arial Narrow" w:hAnsi="Arial Narrow"/>
                <w:b/>
                <w:bCs/>
              </w:rPr>
            </w:pPr>
          </w:p>
          <w:p w14:paraId="0104BD8B" w14:textId="77777777" w:rsidR="0048675A" w:rsidRDefault="0048675A" w:rsidP="0048675A">
            <w:pPr>
              <w:pStyle w:val="TableParagraph"/>
              <w:tabs>
                <w:tab w:val="left" w:pos="584"/>
              </w:tabs>
              <w:ind w:left="447" w:right="567"/>
              <w:jc w:val="both"/>
              <w:rPr>
                <w:rFonts w:ascii="Arial Narrow" w:hAnsi="Arial Narrow"/>
                <w:b/>
                <w:bCs/>
              </w:rPr>
            </w:pPr>
            <w:r w:rsidRPr="00D43F08">
              <w:rPr>
                <w:rFonts w:ascii="Arial Narrow" w:hAnsi="Arial Narrow"/>
              </w:rPr>
              <w:t xml:space="preserve">Se solicita al despacho, cite a testimonio al doctor Jairo Tirado Martínez en calidad de </w:t>
            </w:r>
            <w:proofErr w:type="gramStart"/>
            <w:r w:rsidRPr="00D43F08">
              <w:rPr>
                <w:rFonts w:ascii="Arial Narrow" w:hAnsi="Arial Narrow"/>
              </w:rPr>
              <w:t>Director</w:t>
            </w:r>
            <w:proofErr w:type="gramEnd"/>
            <w:r w:rsidRPr="00D43F08">
              <w:rPr>
                <w:rFonts w:ascii="Arial Narrow" w:hAnsi="Arial Narrow"/>
              </w:rPr>
              <w:t xml:space="preserve"> de Otras Prestaciones de la Administradora de los Recursos del Sistema General de Seguridad Social en Salud-ADRES o quien haga sus veces al momento de ser decretada, con el fin de que declare sobre el trámite de auditoría que se presenta con ocasión a los recursos administrados por la ADRES, y que son objeto de la presente demanda. </w:t>
            </w:r>
          </w:p>
          <w:p w14:paraId="2DE83C70" w14:textId="77777777" w:rsidR="0048675A" w:rsidRDefault="0048675A" w:rsidP="0048675A">
            <w:pPr>
              <w:pStyle w:val="TableParagraph"/>
              <w:tabs>
                <w:tab w:val="left" w:pos="584"/>
              </w:tabs>
              <w:ind w:left="447" w:right="567"/>
              <w:jc w:val="both"/>
              <w:rPr>
                <w:rFonts w:ascii="Arial Narrow" w:hAnsi="Arial Narrow"/>
                <w:b/>
                <w:bCs/>
              </w:rPr>
            </w:pPr>
          </w:p>
          <w:p w14:paraId="41635E58" w14:textId="77777777" w:rsidR="0048675A" w:rsidRPr="00D43F08" w:rsidRDefault="0048675A" w:rsidP="0048675A">
            <w:pPr>
              <w:pStyle w:val="TableParagraph"/>
              <w:tabs>
                <w:tab w:val="left" w:pos="584"/>
              </w:tabs>
              <w:ind w:left="447" w:right="567"/>
              <w:jc w:val="both"/>
              <w:rPr>
                <w:rFonts w:ascii="Arial Narrow" w:hAnsi="Arial Narrow"/>
                <w:b/>
                <w:bCs/>
              </w:rPr>
            </w:pPr>
            <w:r w:rsidRPr="00D43F08">
              <w:rPr>
                <w:rFonts w:ascii="Arial Narrow" w:hAnsi="Arial Narrow"/>
              </w:rPr>
              <w:lastRenderedPageBreak/>
              <w:t xml:space="preserve">Se solicita al despacho, cite a testimonio al doctor Claudia Pulido Buitrago en calidad de </w:t>
            </w:r>
            <w:proofErr w:type="gramStart"/>
            <w:r w:rsidRPr="00D43F08">
              <w:rPr>
                <w:rFonts w:ascii="Arial Narrow" w:hAnsi="Arial Narrow"/>
              </w:rPr>
              <w:t>Directora</w:t>
            </w:r>
            <w:proofErr w:type="gramEnd"/>
            <w:r w:rsidRPr="00D43F08">
              <w:rPr>
                <w:rFonts w:ascii="Arial Narrow" w:hAnsi="Arial Narrow"/>
              </w:rPr>
              <w:t xml:space="preserve"> (E) de Liquidaciones y Garantías de la Administradora de los Recursos del Sistema General de Seguridad Social en Salud-ADRES o quien haga sus veces al momento de ser decretada, con el fin de que declare sobre el trámite de auditoría que se presenta con ocasión a los recursos administrados por la ADRES, y que son objeto de la presente demanda. </w:t>
            </w:r>
          </w:p>
          <w:p w14:paraId="1C272A27" w14:textId="77777777" w:rsidR="0048675A" w:rsidRPr="00D43F08" w:rsidRDefault="0048675A" w:rsidP="0048675A">
            <w:pPr>
              <w:ind w:right="567"/>
              <w:jc w:val="both"/>
              <w:rPr>
                <w:rFonts w:ascii="Arial Narrow" w:hAnsi="Arial Narrow"/>
                <w:color w:val="000000" w:themeColor="text1"/>
                <w:u w:val="single"/>
              </w:rPr>
            </w:pPr>
          </w:p>
          <w:p w14:paraId="2588E39A" w14:textId="77777777" w:rsidR="0048675A" w:rsidRDefault="0048675A" w:rsidP="0048675A">
            <w:pPr>
              <w:pStyle w:val="TableParagraph"/>
              <w:tabs>
                <w:tab w:val="left" w:pos="584"/>
              </w:tabs>
              <w:ind w:left="476" w:right="567"/>
              <w:jc w:val="both"/>
              <w:rPr>
                <w:rFonts w:ascii="Arial Narrow" w:eastAsia="Calibri" w:hAnsi="Arial Narrow"/>
                <w:b/>
                <w:bCs/>
                <w:color w:val="000000" w:themeColor="text1"/>
                <w:u w:val="single"/>
                <w:lang w:val="es-CO"/>
              </w:rPr>
            </w:pPr>
            <w:r w:rsidRPr="007F2B6C">
              <w:rPr>
                <w:rFonts w:ascii="Arial Narrow" w:eastAsia="Calibri" w:hAnsi="Arial Narrow"/>
                <w:b/>
                <w:bCs/>
                <w:color w:val="000000" w:themeColor="text1"/>
                <w:u w:val="single"/>
                <w:lang w:val="es-CO"/>
              </w:rPr>
              <w:t xml:space="preserve">Parte demandada: </w:t>
            </w:r>
          </w:p>
          <w:p w14:paraId="0F903EB9" w14:textId="77777777" w:rsidR="0048675A" w:rsidRDefault="0048675A" w:rsidP="0048675A">
            <w:pPr>
              <w:pStyle w:val="TableParagraph"/>
              <w:tabs>
                <w:tab w:val="left" w:pos="584"/>
              </w:tabs>
              <w:ind w:left="476" w:right="567"/>
              <w:jc w:val="both"/>
              <w:rPr>
                <w:rFonts w:ascii="Arial Narrow" w:eastAsia="Calibri" w:hAnsi="Arial Narrow"/>
                <w:b/>
                <w:bCs/>
                <w:color w:val="000000" w:themeColor="text1"/>
                <w:u w:val="single"/>
                <w:lang w:val="es-CO"/>
              </w:rPr>
            </w:pPr>
          </w:p>
          <w:p w14:paraId="2BC30664" w14:textId="77777777" w:rsidR="0048675A" w:rsidRPr="00A04A70" w:rsidRDefault="0048675A" w:rsidP="0048675A">
            <w:pPr>
              <w:pStyle w:val="TableParagraph"/>
              <w:tabs>
                <w:tab w:val="left" w:pos="584"/>
              </w:tabs>
              <w:ind w:left="476" w:right="567"/>
              <w:jc w:val="both"/>
              <w:rPr>
                <w:rFonts w:ascii="Arial Narrow" w:eastAsia="Calibri" w:hAnsi="Arial Narrow"/>
                <w:b/>
                <w:bCs/>
                <w:color w:val="000000" w:themeColor="text1"/>
                <w:u w:val="single"/>
                <w:lang w:val="es-CO"/>
              </w:rPr>
            </w:pPr>
            <w:r w:rsidRPr="00A04A70">
              <w:rPr>
                <w:rFonts w:ascii="Arial Narrow" w:eastAsia="Calibri" w:hAnsi="Arial Narrow"/>
                <w:b/>
                <w:bCs/>
                <w:color w:val="000000" w:themeColor="text1"/>
                <w:u w:val="single"/>
                <w:lang w:val="es-CO"/>
              </w:rPr>
              <w:t>SUPERINTENDENCIA NACIONAL DE SALUD</w:t>
            </w:r>
          </w:p>
          <w:p w14:paraId="73D8F33B" w14:textId="77777777" w:rsidR="0048675A" w:rsidRDefault="0048675A" w:rsidP="0048675A">
            <w:pPr>
              <w:pStyle w:val="TableParagraph"/>
              <w:tabs>
                <w:tab w:val="left" w:pos="584"/>
              </w:tabs>
              <w:ind w:left="927" w:right="567"/>
              <w:jc w:val="both"/>
              <w:rPr>
                <w:rFonts w:ascii="Arial Narrow" w:hAnsi="Arial Narrow"/>
              </w:rPr>
            </w:pPr>
          </w:p>
          <w:p w14:paraId="3737AF75" w14:textId="77777777" w:rsidR="00585C3A" w:rsidRDefault="0048675A" w:rsidP="00585C3A">
            <w:pPr>
              <w:ind w:left="476" w:right="567"/>
              <w:jc w:val="both"/>
              <w:rPr>
                <w:rFonts w:ascii="Arial Narrow" w:hAnsi="Arial Narrow"/>
                <w:b/>
                <w:bCs/>
                <w:lang w:val="es-CO"/>
              </w:rPr>
            </w:pPr>
            <w:r w:rsidRPr="00CC17DA">
              <w:rPr>
                <w:rFonts w:ascii="Arial Narrow" w:hAnsi="Arial Narrow"/>
                <w:b/>
                <w:bCs/>
                <w:lang w:val="es-CO"/>
              </w:rPr>
              <w:t>DOCUMENTALES</w:t>
            </w:r>
            <w:r>
              <w:rPr>
                <w:rFonts w:ascii="Arial Narrow" w:hAnsi="Arial Narrow"/>
                <w:b/>
                <w:bCs/>
                <w:lang w:val="es-CO"/>
              </w:rPr>
              <w:t>:</w:t>
            </w:r>
          </w:p>
          <w:p w14:paraId="00A6569E" w14:textId="77777777" w:rsidR="00585C3A" w:rsidRPr="00585C3A" w:rsidRDefault="00585C3A" w:rsidP="00585C3A">
            <w:pPr>
              <w:ind w:left="476" w:right="567"/>
              <w:jc w:val="both"/>
              <w:rPr>
                <w:rFonts w:ascii="Arial Narrow" w:hAnsi="Arial Narrow"/>
                <w:b/>
                <w:bCs/>
                <w:lang w:val="es-CO"/>
              </w:rPr>
            </w:pPr>
          </w:p>
          <w:p w14:paraId="384DE5A5" w14:textId="18BF76DC" w:rsidR="00585C3A" w:rsidRPr="00585C3A" w:rsidRDefault="00585C3A" w:rsidP="00585C3A">
            <w:pPr>
              <w:pStyle w:val="Prrafodelista"/>
              <w:numPr>
                <w:ilvl w:val="0"/>
                <w:numId w:val="18"/>
              </w:numPr>
              <w:ind w:left="589" w:right="567" w:hanging="283"/>
              <w:jc w:val="both"/>
              <w:rPr>
                <w:rFonts w:ascii="Arial Narrow" w:hAnsi="Arial Narrow"/>
                <w:b/>
                <w:bCs/>
                <w:i/>
                <w:iCs/>
                <w:lang w:val="es-CO"/>
              </w:rPr>
            </w:pPr>
            <w:r w:rsidRPr="00585C3A">
              <w:rPr>
                <w:rFonts w:ascii="Arial Narrow" w:hAnsi="Arial Narrow"/>
                <w:lang w:val="es-CO"/>
              </w:rPr>
              <w:t xml:space="preserve"> CIRCULAR EXTERNA 2022130000000054-5 DE 2022 </w:t>
            </w:r>
            <w:r w:rsidRPr="00585C3A">
              <w:rPr>
                <w:rFonts w:ascii="Arial Narrow" w:hAnsi="Arial Narrow"/>
                <w:i/>
                <w:iCs/>
                <w:lang w:val="es-CO"/>
              </w:rPr>
              <w:t>“CUMPLIMIENTO LEY 2013 DE 2019 POR PARTE DE LOS AGENTES ESPECIALES INTERVENTORES, LIQUIDADORES Y CONTRALORES DESIGNADOS POR LA SUPERINTENDENCIA NACIONAL DE SALUD”</w:t>
            </w:r>
          </w:p>
          <w:p w14:paraId="26BD7021" w14:textId="77777777" w:rsidR="00585C3A" w:rsidRPr="00585C3A" w:rsidRDefault="00585C3A" w:rsidP="00585C3A">
            <w:pPr>
              <w:pStyle w:val="Prrafodelista"/>
              <w:numPr>
                <w:ilvl w:val="0"/>
                <w:numId w:val="18"/>
              </w:numPr>
              <w:ind w:left="589" w:right="567" w:hanging="283"/>
              <w:jc w:val="both"/>
              <w:rPr>
                <w:rFonts w:ascii="Arial Narrow" w:hAnsi="Arial Narrow"/>
                <w:b/>
                <w:bCs/>
                <w:lang w:val="es-CO"/>
              </w:rPr>
            </w:pPr>
            <w:r w:rsidRPr="00585C3A">
              <w:rPr>
                <w:rFonts w:ascii="Arial Narrow" w:hAnsi="Arial Narrow"/>
                <w:lang w:val="es-CO"/>
              </w:rPr>
              <w:t xml:space="preserve">6.2. CIRCULAR EXTERNA 2022130000000055-5 DE 2022 </w:t>
            </w:r>
            <w:r w:rsidRPr="00585C3A">
              <w:rPr>
                <w:rFonts w:ascii="Arial Narrow" w:hAnsi="Arial Narrow"/>
                <w:i/>
                <w:iCs/>
                <w:lang w:val="es-CO"/>
              </w:rPr>
              <w:t xml:space="preserve">“Gastos Administrativos </w:t>
            </w:r>
            <w:r>
              <w:rPr>
                <w:rFonts w:ascii="Arial Narrow" w:hAnsi="Arial Narrow"/>
                <w:i/>
                <w:iCs/>
                <w:lang w:val="es-CO"/>
              </w:rPr>
              <w:t>q</w:t>
            </w:r>
            <w:r w:rsidRPr="00585C3A">
              <w:rPr>
                <w:rFonts w:ascii="Arial Narrow" w:hAnsi="Arial Narrow"/>
                <w:i/>
                <w:iCs/>
                <w:lang w:val="es-CO"/>
              </w:rPr>
              <w:t xml:space="preserve">ue </w:t>
            </w:r>
            <w:r>
              <w:rPr>
                <w:rFonts w:ascii="Arial Narrow" w:hAnsi="Arial Narrow"/>
                <w:i/>
                <w:iCs/>
                <w:lang w:val="es-CO"/>
              </w:rPr>
              <w:t>por su</w:t>
            </w:r>
            <w:r w:rsidRPr="00585C3A">
              <w:rPr>
                <w:rFonts w:ascii="Arial Narrow" w:hAnsi="Arial Narrow"/>
                <w:i/>
                <w:iCs/>
                <w:lang w:val="es-CO"/>
              </w:rPr>
              <w:t xml:space="preserve"> Naturaleza Constituyen Gastos </w:t>
            </w:r>
            <w:r>
              <w:rPr>
                <w:rFonts w:ascii="Arial Narrow" w:hAnsi="Arial Narrow"/>
                <w:i/>
                <w:iCs/>
                <w:lang w:val="es-CO"/>
              </w:rPr>
              <w:t>de</w:t>
            </w:r>
            <w:r w:rsidRPr="00585C3A">
              <w:rPr>
                <w:rFonts w:ascii="Arial Narrow" w:hAnsi="Arial Narrow"/>
                <w:i/>
                <w:iCs/>
                <w:lang w:val="es-CO"/>
              </w:rPr>
              <w:t xml:space="preserve"> Funcionamiento”</w:t>
            </w:r>
          </w:p>
          <w:p w14:paraId="6379E2E5" w14:textId="74519E1F" w:rsidR="00585C3A" w:rsidRPr="00585C3A" w:rsidRDefault="00585C3A" w:rsidP="00585C3A">
            <w:pPr>
              <w:pStyle w:val="Prrafodelista"/>
              <w:numPr>
                <w:ilvl w:val="0"/>
                <w:numId w:val="18"/>
              </w:numPr>
              <w:ind w:left="589" w:right="567" w:hanging="283"/>
              <w:jc w:val="both"/>
              <w:rPr>
                <w:rFonts w:ascii="Arial Narrow" w:hAnsi="Arial Narrow"/>
                <w:b/>
                <w:bCs/>
                <w:i/>
                <w:iCs/>
                <w:lang w:val="es-CO"/>
              </w:rPr>
            </w:pPr>
            <w:r w:rsidRPr="00585C3A">
              <w:rPr>
                <w:rFonts w:ascii="Arial Narrow" w:hAnsi="Arial Narrow"/>
                <w:lang w:val="es-CO"/>
              </w:rPr>
              <w:t xml:space="preserve">CIRCULAR EXTERNA 2022130000000058-5 DE 2022 </w:t>
            </w:r>
            <w:r w:rsidRPr="00585C3A">
              <w:rPr>
                <w:rFonts w:ascii="Arial Narrow" w:hAnsi="Arial Narrow"/>
                <w:i/>
                <w:iCs/>
                <w:lang w:val="es-CO"/>
              </w:rPr>
              <w:t>“Cumplimiento de obligaciones específicas a cargo del agente liquidador en el marco del proceso de liquidación forzosa administrativa.”</w:t>
            </w:r>
          </w:p>
          <w:p w14:paraId="2FE02113" w14:textId="77777777" w:rsidR="00585C3A" w:rsidRPr="00585C3A" w:rsidRDefault="00585C3A" w:rsidP="00585C3A">
            <w:pPr>
              <w:pStyle w:val="Prrafodelista"/>
              <w:ind w:left="589" w:right="567"/>
              <w:jc w:val="both"/>
              <w:rPr>
                <w:rFonts w:ascii="Arial Narrow" w:hAnsi="Arial Narrow"/>
                <w:b/>
                <w:bCs/>
                <w:i/>
                <w:iCs/>
                <w:lang w:val="es-CO"/>
              </w:rPr>
            </w:pPr>
          </w:p>
          <w:p w14:paraId="25619FF6" w14:textId="6557344F" w:rsidR="00585C3A" w:rsidRPr="00585C3A" w:rsidRDefault="00585C3A" w:rsidP="00585C3A">
            <w:pPr>
              <w:pStyle w:val="Prrafodelista"/>
              <w:numPr>
                <w:ilvl w:val="0"/>
                <w:numId w:val="18"/>
              </w:numPr>
              <w:ind w:left="589" w:right="567" w:hanging="283"/>
              <w:jc w:val="both"/>
              <w:rPr>
                <w:rFonts w:ascii="Arial Narrow" w:hAnsi="Arial Narrow"/>
                <w:b/>
                <w:bCs/>
                <w:lang w:val="es-CO"/>
              </w:rPr>
            </w:pPr>
            <w:r w:rsidRPr="00585C3A">
              <w:rPr>
                <w:rFonts w:ascii="Arial Narrow" w:hAnsi="Arial Narrow"/>
                <w:lang w:val="es-CO"/>
              </w:rPr>
              <w:t xml:space="preserve">AUTO Núm. 2023130000000497-7 DE 23-03-2023 </w:t>
            </w:r>
            <w:r w:rsidRPr="00585C3A">
              <w:rPr>
                <w:rFonts w:ascii="Arial Narrow" w:hAnsi="Arial Narrow"/>
                <w:i/>
                <w:iCs/>
                <w:lang w:val="es-CO"/>
              </w:rPr>
              <w:t>“POR EL CUAL SE ORDENA AUDITORIA DE SEGUIMIENTO A LA EPS COOMEVA S.A. EN LIQUIDACIÓN CON NIT 804.002.105-0.”</w:t>
            </w:r>
          </w:p>
          <w:p w14:paraId="4DCBA5FD" w14:textId="77777777" w:rsidR="00585C3A" w:rsidRPr="00585C3A" w:rsidRDefault="00585C3A" w:rsidP="00585C3A">
            <w:pPr>
              <w:pStyle w:val="Prrafodelista"/>
              <w:rPr>
                <w:rFonts w:ascii="Arial Narrow" w:hAnsi="Arial Narrow"/>
                <w:b/>
                <w:bCs/>
                <w:lang w:val="es-CO"/>
              </w:rPr>
            </w:pPr>
          </w:p>
          <w:p w14:paraId="57E49A12" w14:textId="77777777" w:rsidR="00585C3A" w:rsidRPr="00585C3A" w:rsidRDefault="00585C3A" w:rsidP="00585C3A">
            <w:pPr>
              <w:pStyle w:val="Prrafodelista"/>
              <w:numPr>
                <w:ilvl w:val="0"/>
                <w:numId w:val="18"/>
              </w:numPr>
              <w:ind w:left="589" w:right="567" w:hanging="283"/>
              <w:jc w:val="both"/>
              <w:rPr>
                <w:rFonts w:ascii="Arial Narrow" w:hAnsi="Arial Narrow"/>
                <w:b/>
                <w:bCs/>
                <w:lang w:val="es-CO"/>
              </w:rPr>
            </w:pPr>
            <w:r w:rsidRPr="00585C3A">
              <w:rPr>
                <w:rFonts w:ascii="Arial Narrow" w:hAnsi="Arial Narrow"/>
                <w:lang w:val="es-CO"/>
              </w:rPr>
              <w:t>INFORME DE SEGUIMIENTO EN CAMPO A VIGILADOS EN MEDIDA- Coomeva</w:t>
            </w:r>
            <w:r>
              <w:rPr>
                <w:rFonts w:ascii="Arial Narrow" w:hAnsi="Arial Narrow"/>
                <w:lang w:val="es-CO"/>
              </w:rPr>
              <w:t xml:space="preserve"> </w:t>
            </w:r>
            <w:r w:rsidRPr="00585C3A">
              <w:rPr>
                <w:rFonts w:ascii="Arial Narrow" w:hAnsi="Arial Narrow"/>
                <w:lang w:val="es-CO"/>
              </w:rPr>
              <w:t>EPS S.A. en liquidación</w:t>
            </w:r>
          </w:p>
          <w:p w14:paraId="77F799CC" w14:textId="77777777" w:rsidR="00585C3A" w:rsidRPr="00585C3A" w:rsidRDefault="00585C3A" w:rsidP="00585C3A">
            <w:pPr>
              <w:pStyle w:val="Prrafodelista"/>
              <w:rPr>
                <w:rFonts w:ascii="Arial Narrow" w:hAnsi="Arial Narrow"/>
                <w:lang w:val="es-CO"/>
              </w:rPr>
            </w:pPr>
          </w:p>
          <w:p w14:paraId="368A9D2E" w14:textId="762E4BAB" w:rsidR="00585C3A" w:rsidRPr="00585C3A" w:rsidRDefault="00585C3A" w:rsidP="00585C3A">
            <w:pPr>
              <w:pStyle w:val="Prrafodelista"/>
              <w:numPr>
                <w:ilvl w:val="0"/>
                <w:numId w:val="18"/>
              </w:numPr>
              <w:ind w:left="589" w:right="567" w:hanging="283"/>
              <w:jc w:val="both"/>
              <w:rPr>
                <w:rFonts w:ascii="Arial Narrow" w:hAnsi="Arial Narrow"/>
                <w:b/>
                <w:bCs/>
                <w:i/>
                <w:iCs/>
                <w:lang w:val="es-CO"/>
              </w:rPr>
            </w:pPr>
            <w:r w:rsidRPr="00585C3A">
              <w:rPr>
                <w:rFonts w:ascii="Arial Narrow" w:hAnsi="Arial Narrow"/>
                <w:lang w:val="es-CO"/>
              </w:rPr>
              <w:t xml:space="preserve">CIRCULAR EXTERNA 2023130000000009-5 DE 2023 </w:t>
            </w:r>
            <w:r w:rsidRPr="00585C3A">
              <w:rPr>
                <w:rFonts w:ascii="Arial Narrow" w:hAnsi="Arial Narrow"/>
                <w:i/>
                <w:iCs/>
                <w:lang w:val="es-CO"/>
              </w:rPr>
              <w:t>“Cumplimiento del artículo 151 de la Ley 2294 de 2023, en relación con prohibiciones específicas a los agentes liquidadores en salud.”</w:t>
            </w:r>
          </w:p>
          <w:p w14:paraId="450BF958" w14:textId="77777777" w:rsidR="00585C3A" w:rsidRPr="00585C3A" w:rsidRDefault="00585C3A" w:rsidP="00585C3A">
            <w:pPr>
              <w:pStyle w:val="Prrafodelista"/>
              <w:rPr>
                <w:rFonts w:ascii="Arial Narrow" w:hAnsi="Arial Narrow"/>
                <w:b/>
                <w:bCs/>
                <w:i/>
                <w:iCs/>
                <w:lang w:val="es-CO"/>
              </w:rPr>
            </w:pPr>
          </w:p>
          <w:p w14:paraId="1E65DE40" w14:textId="072CA987" w:rsidR="00585C3A" w:rsidRPr="00585C3A" w:rsidRDefault="00585C3A" w:rsidP="00585C3A">
            <w:pPr>
              <w:pStyle w:val="Prrafodelista"/>
              <w:numPr>
                <w:ilvl w:val="0"/>
                <w:numId w:val="18"/>
              </w:numPr>
              <w:ind w:left="589" w:right="567" w:hanging="283"/>
              <w:jc w:val="both"/>
              <w:rPr>
                <w:rFonts w:ascii="Arial Narrow" w:hAnsi="Arial Narrow"/>
                <w:i/>
                <w:iCs/>
                <w:lang w:val="es-CO"/>
              </w:rPr>
            </w:pPr>
            <w:r w:rsidRPr="00585C3A">
              <w:rPr>
                <w:rFonts w:ascii="Arial Narrow" w:hAnsi="Arial Narrow"/>
              </w:rPr>
              <w:t>Resolución No. 2022320000000189-6 de 2022</w:t>
            </w:r>
            <w:r w:rsidRPr="00585C3A">
              <w:rPr>
                <w:rFonts w:ascii="Arial Narrow" w:hAnsi="Arial Narrow"/>
                <w:i/>
                <w:iCs/>
              </w:rPr>
              <w:t>, Por la cual se ordena la liquidación como consecuencia de la toma de posesión a COOMEVA ENTIDAD PROMOTORA DE SALUD S.A.</w:t>
            </w:r>
          </w:p>
          <w:p w14:paraId="654F9B72" w14:textId="77777777" w:rsidR="00585C3A" w:rsidRDefault="00585C3A" w:rsidP="009F1834">
            <w:pPr>
              <w:ind w:left="476" w:right="567"/>
              <w:jc w:val="both"/>
              <w:rPr>
                <w:rFonts w:ascii="Arial Narrow" w:hAnsi="Arial Narrow"/>
                <w:lang w:val="es-CO"/>
              </w:rPr>
            </w:pPr>
          </w:p>
          <w:p w14:paraId="48B85EC1" w14:textId="6E2E187E" w:rsidR="00D44B5C" w:rsidRDefault="00D44B5C" w:rsidP="00D44B5C">
            <w:pPr>
              <w:pStyle w:val="TableParagraph"/>
              <w:tabs>
                <w:tab w:val="left" w:pos="584"/>
              </w:tabs>
              <w:ind w:left="476" w:right="567"/>
              <w:jc w:val="both"/>
              <w:rPr>
                <w:rFonts w:ascii="Arial Narrow" w:eastAsia="Calibri" w:hAnsi="Arial Narrow"/>
                <w:b/>
                <w:bCs/>
                <w:color w:val="000000" w:themeColor="text1"/>
                <w:u w:val="single"/>
                <w:lang w:val="es-CO"/>
              </w:rPr>
            </w:pPr>
            <w:r>
              <w:rPr>
                <w:rFonts w:ascii="Arial Narrow" w:eastAsia="Calibri" w:hAnsi="Arial Narrow"/>
                <w:b/>
                <w:bCs/>
                <w:color w:val="000000" w:themeColor="text1"/>
                <w:u w:val="single"/>
                <w:lang w:val="es-CO"/>
              </w:rPr>
              <w:t>COOMEVA EPS</w:t>
            </w:r>
          </w:p>
          <w:p w14:paraId="2191CEF4" w14:textId="77777777" w:rsidR="00D44B5C" w:rsidRDefault="00D44B5C" w:rsidP="00D44B5C">
            <w:pPr>
              <w:pStyle w:val="TableParagraph"/>
              <w:tabs>
                <w:tab w:val="left" w:pos="584"/>
              </w:tabs>
              <w:ind w:left="476" w:right="567"/>
              <w:jc w:val="both"/>
              <w:rPr>
                <w:rFonts w:ascii="Arial Narrow" w:eastAsia="Calibri" w:hAnsi="Arial Narrow"/>
                <w:b/>
                <w:bCs/>
                <w:color w:val="000000" w:themeColor="text1"/>
                <w:u w:val="single"/>
                <w:lang w:val="es-CO"/>
              </w:rPr>
            </w:pPr>
          </w:p>
          <w:p w14:paraId="017421FC" w14:textId="09DD9CED" w:rsidR="00D44B5C" w:rsidRPr="00D44B5C" w:rsidRDefault="00D44B5C" w:rsidP="00D44B5C">
            <w:pPr>
              <w:pStyle w:val="TableParagraph"/>
              <w:tabs>
                <w:tab w:val="left" w:pos="584"/>
              </w:tabs>
              <w:ind w:left="476" w:right="567"/>
              <w:jc w:val="both"/>
              <w:rPr>
                <w:rFonts w:ascii="Arial Narrow" w:eastAsia="Calibri" w:hAnsi="Arial Narrow"/>
                <w:color w:val="000000" w:themeColor="text1"/>
                <w:lang w:val="es-CO"/>
              </w:rPr>
            </w:pPr>
            <w:r w:rsidRPr="00D44B5C">
              <w:rPr>
                <w:rFonts w:ascii="Arial Narrow" w:eastAsia="Calibri" w:hAnsi="Arial Narrow"/>
                <w:color w:val="000000" w:themeColor="text1"/>
                <w:lang w:val="es-CO"/>
              </w:rPr>
              <w:t>No contesta la demanda e interpone recurso de reposición contra el auto que admite la demanda, para que sea desvinculada del proceso.</w:t>
            </w:r>
          </w:p>
          <w:p w14:paraId="4AA7E697" w14:textId="77777777" w:rsidR="00585C3A" w:rsidRPr="007F2B6C" w:rsidRDefault="00585C3A" w:rsidP="00D44B5C">
            <w:pPr>
              <w:ind w:right="567"/>
              <w:jc w:val="both"/>
              <w:rPr>
                <w:rFonts w:ascii="Arial Narrow" w:hAnsi="Arial Narrow"/>
                <w:color w:val="FF0000"/>
                <w:lang w:val="es-CO"/>
              </w:rPr>
            </w:pPr>
          </w:p>
          <w:p w14:paraId="7811FD8A" w14:textId="65311CE8" w:rsidR="00325F05" w:rsidRPr="007F2B6C" w:rsidRDefault="00325F05" w:rsidP="00461509">
            <w:pPr>
              <w:pStyle w:val="TableParagraph"/>
              <w:numPr>
                <w:ilvl w:val="0"/>
                <w:numId w:val="2"/>
              </w:numPr>
              <w:tabs>
                <w:tab w:val="left" w:pos="584"/>
              </w:tabs>
              <w:ind w:left="836" w:right="567"/>
              <w:jc w:val="both"/>
              <w:rPr>
                <w:rFonts w:ascii="Arial Narrow" w:hAnsi="Arial Narrow"/>
                <w:b/>
                <w:bCs/>
                <w:color w:val="000000" w:themeColor="text1"/>
                <w:lang w:val="es-CO"/>
              </w:rPr>
            </w:pPr>
            <w:r w:rsidRPr="007F2B6C">
              <w:rPr>
                <w:rFonts w:ascii="Arial Narrow" w:hAnsi="Arial Narrow"/>
                <w:b/>
                <w:bCs/>
                <w:color w:val="000000" w:themeColor="text1"/>
                <w:lang w:val="es-CO"/>
              </w:rPr>
              <w:t xml:space="preserve">Presuntas normas violadas </w:t>
            </w:r>
          </w:p>
          <w:p w14:paraId="65388ECB" w14:textId="77777777" w:rsidR="00325F05" w:rsidRPr="007F2B6C" w:rsidRDefault="00325F05" w:rsidP="007F2B6C">
            <w:pPr>
              <w:pStyle w:val="TableParagraph"/>
              <w:tabs>
                <w:tab w:val="left" w:pos="338"/>
              </w:tabs>
              <w:ind w:left="567" w:right="567"/>
              <w:jc w:val="both"/>
              <w:rPr>
                <w:rFonts w:ascii="Arial Narrow" w:hAnsi="Arial Narrow"/>
                <w:b/>
                <w:color w:val="000000" w:themeColor="text1"/>
                <w:lang w:val="es-CO"/>
              </w:rPr>
            </w:pPr>
          </w:p>
          <w:p w14:paraId="6F763FAD" w14:textId="1B84E712" w:rsidR="00F000D7" w:rsidRDefault="00F000D7" w:rsidP="00E77B73">
            <w:pPr>
              <w:pStyle w:val="Prrafodelista"/>
              <w:numPr>
                <w:ilvl w:val="0"/>
                <w:numId w:val="19"/>
              </w:numPr>
              <w:ind w:right="567"/>
              <w:jc w:val="both"/>
              <w:rPr>
                <w:rFonts w:ascii="Arial Narrow" w:eastAsia="Calibri" w:hAnsi="Arial Narrow"/>
                <w:bCs/>
                <w:color w:val="000000" w:themeColor="text1"/>
                <w:lang w:val="es-CO"/>
              </w:rPr>
            </w:pPr>
            <w:r>
              <w:rPr>
                <w:rFonts w:ascii="Arial Narrow" w:eastAsia="Calibri" w:hAnsi="Arial Narrow"/>
                <w:bCs/>
                <w:color w:val="000000" w:themeColor="text1"/>
                <w:lang w:val="es-CO"/>
              </w:rPr>
              <w:t>Constitución Política, artículo</w:t>
            </w:r>
            <w:r w:rsidR="009B5BE8">
              <w:rPr>
                <w:rFonts w:ascii="Arial Narrow" w:eastAsia="Calibri" w:hAnsi="Arial Narrow"/>
                <w:bCs/>
                <w:color w:val="000000" w:themeColor="text1"/>
                <w:lang w:val="es-CO"/>
              </w:rPr>
              <w:t>s 4, 6, 121,122,123, 48</w:t>
            </w:r>
            <w:r w:rsidR="009558CD">
              <w:rPr>
                <w:rFonts w:ascii="Arial Narrow" w:eastAsia="Calibri" w:hAnsi="Arial Narrow"/>
                <w:bCs/>
                <w:color w:val="000000" w:themeColor="text1"/>
                <w:lang w:val="es-CO"/>
              </w:rPr>
              <w:t xml:space="preserve"> y</w:t>
            </w:r>
            <w:r>
              <w:rPr>
                <w:rFonts w:ascii="Arial Narrow" w:eastAsia="Calibri" w:hAnsi="Arial Narrow"/>
                <w:bCs/>
                <w:color w:val="000000" w:themeColor="text1"/>
                <w:lang w:val="es-CO"/>
              </w:rPr>
              <w:t xml:space="preserve"> 4</w:t>
            </w:r>
            <w:r w:rsidR="009B5BE8">
              <w:rPr>
                <w:rFonts w:ascii="Arial Narrow" w:eastAsia="Calibri" w:hAnsi="Arial Narrow"/>
                <w:bCs/>
                <w:color w:val="000000" w:themeColor="text1"/>
                <w:lang w:val="es-CO"/>
              </w:rPr>
              <w:t>9.</w:t>
            </w:r>
          </w:p>
          <w:p w14:paraId="0E7043C8" w14:textId="54A1623F" w:rsidR="00E77B73" w:rsidRPr="00522D0A" w:rsidRDefault="00E77B73" w:rsidP="00E77B73">
            <w:pPr>
              <w:pStyle w:val="Prrafodelista"/>
              <w:numPr>
                <w:ilvl w:val="0"/>
                <w:numId w:val="19"/>
              </w:numPr>
              <w:ind w:right="567"/>
              <w:jc w:val="both"/>
              <w:rPr>
                <w:rFonts w:ascii="Arial Narrow" w:eastAsia="Calibri" w:hAnsi="Arial Narrow"/>
                <w:bCs/>
                <w:color w:val="000000" w:themeColor="text1"/>
                <w:lang w:val="es-CO"/>
              </w:rPr>
            </w:pPr>
            <w:r w:rsidRPr="00522D0A">
              <w:rPr>
                <w:rFonts w:ascii="Arial Narrow" w:eastAsia="Calibri" w:hAnsi="Arial Narrow"/>
                <w:bCs/>
                <w:color w:val="000000" w:themeColor="text1"/>
                <w:lang w:val="es-CO"/>
              </w:rPr>
              <w:t>Ley 100 de 1993 en el parágrafo 2 de su artículo 233</w:t>
            </w:r>
            <w:r w:rsidR="009558CD">
              <w:rPr>
                <w:rFonts w:ascii="Arial Narrow" w:eastAsia="Calibri" w:hAnsi="Arial Narrow"/>
                <w:bCs/>
                <w:color w:val="000000" w:themeColor="text1"/>
                <w:lang w:val="es-CO"/>
              </w:rPr>
              <w:t>.</w:t>
            </w:r>
          </w:p>
          <w:p w14:paraId="2A99D8FB" w14:textId="69B09530" w:rsidR="00522D0A" w:rsidRDefault="00522D0A" w:rsidP="00522D0A">
            <w:pPr>
              <w:pStyle w:val="Prrafodelista"/>
              <w:numPr>
                <w:ilvl w:val="0"/>
                <w:numId w:val="19"/>
              </w:numPr>
              <w:ind w:right="567"/>
              <w:jc w:val="both"/>
              <w:rPr>
                <w:rFonts w:ascii="Arial Narrow" w:eastAsia="Calibri" w:hAnsi="Arial Narrow"/>
                <w:bCs/>
                <w:color w:val="000000" w:themeColor="text1"/>
                <w:lang w:val="es-CO"/>
              </w:rPr>
            </w:pPr>
            <w:r w:rsidRPr="00522D0A">
              <w:rPr>
                <w:rFonts w:ascii="Arial Narrow" w:eastAsia="Calibri" w:hAnsi="Arial Narrow"/>
                <w:bCs/>
                <w:color w:val="000000" w:themeColor="text1"/>
                <w:lang w:val="es-CO"/>
              </w:rPr>
              <w:t>Ley 715 de 2001</w:t>
            </w:r>
          </w:p>
          <w:p w14:paraId="538BB84D" w14:textId="4ED0C201" w:rsidR="00F000D7" w:rsidRPr="00522D0A" w:rsidRDefault="00F000D7" w:rsidP="00522D0A">
            <w:pPr>
              <w:pStyle w:val="Prrafodelista"/>
              <w:numPr>
                <w:ilvl w:val="0"/>
                <w:numId w:val="19"/>
              </w:numPr>
              <w:ind w:right="567"/>
              <w:jc w:val="both"/>
              <w:rPr>
                <w:rFonts w:ascii="Arial Narrow" w:eastAsia="Calibri" w:hAnsi="Arial Narrow"/>
                <w:bCs/>
                <w:color w:val="000000" w:themeColor="text1"/>
                <w:lang w:val="es-CO"/>
              </w:rPr>
            </w:pPr>
            <w:r>
              <w:rPr>
                <w:rFonts w:ascii="Arial Narrow" w:eastAsia="Calibri" w:hAnsi="Arial Narrow"/>
                <w:bCs/>
                <w:color w:val="000000" w:themeColor="text1"/>
                <w:lang w:val="es-CO"/>
              </w:rPr>
              <w:t>Ley 1122 de 2007, artículos 35</w:t>
            </w:r>
            <w:r w:rsidR="009558CD">
              <w:rPr>
                <w:rFonts w:ascii="Arial Narrow" w:eastAsia="Calibri" w:hAnsi="Arial Narrow"/>
                <w:bCs/>
                <w:color w:val="000000" w:themeColor="text1"/>
                <w:lang w:val="es-CO"/>
              </w:rPr>
              <w:t xml:space="preserve"> y </w:t>
            </w:r>
            <w:r>
              <w:rPr>
                <w:rFonts w:ascii="Arial Narrow" w:eastAsia="Calibri" w:hAnsi="Arial Narrow"/>
                <w:bCs/>
                <w:color w:val="000000" w:themeColor="text1"/>
                <w:lang w:val="es-CO"/>
              </w:rPr>
              <w:t>37</w:t>
            </w:r>
            <w:r w:rsidR="009B5BE8">
              <w:rPr>
                <w:rFonts w:ascii="Arial Narrow" w:eastAsia="Calibri" w:hAnsi="Arial Narrow"/>
                <w:bCs/>
                <w:color w:val="000000" w:themeColor="text1"/>
                <w:lang w:val="es-CO"/>
              </w:rPr>
              <w:t>.</w:t>
            </w:r>
          </w:p>
          <w:p w14:paraId="5BFB9169" w14:textId="70DB03A0" w:rsidR="00522D0A" w:rsidRDefault="00522D0A" w:rsidP="00522D0A">
            <w:pPr>
              <w:pStyle w:val="Prrafodelista"/>
              <w:numPr>
                <w:ilvl w:val="0"/>
                <w:numId w:val="19"/>
              </w:numPr>
              <w:ind w:right="567"/>
              <w:jc w:val="both"/>
              <w:rPr>
                <w:rFonts w:ascii="Arial Narrow" w:eastAsia="Calibri" w:hAnsi="Arial Narrow"/>
                <w:bCs/>
                <w:color w:val="000000" w:themeColor="text1"/>
                <w:lang w:val="es-CO"/>
              </w:rPr>
            </w:pPr>
            <w:r w:rsidRPr="00522D0A">
              <w:rPr>
                <w:rFonts w:ascii="Arial Narrow" w:eastAsia="Calibri" w:hAnsi="Arial Narrow"/>
                <w:bCs/>
                <w:color w:val="000000" w:themeColor="text1"/>
                <w:lang w:val="es-CO"/>
              </w:rPr>
              <w:t>Ley 1438 de 2011, artículo 129</w:t>
            </w:r>
            <w:r w:rsidR="009B5BE8">
              <w:rPr>
                <w:rFonts w:ascii="Arial Narrow" w:eastAsia="Calibri" w:hAnsi="Arial Narrow"/>
                <w:bCs/>
                <w:color w:val="000000" w:themeColor="text1"/>
                <w:lang w:val="es-CO"/>
              </w:rPr>
              <w:t>.</w:t>
            </w:r>
          </w:p>
          <w:p w14:paraId="48851E41" w14:textId="447C5F15" w:rsidR="009B5BE8" w:rsidRDefault="009B5BE8" w:rsidP="00522D0A">
            <w:pPr>
              <w:pStyle w:val="Prrafodelista"/>
              <w:numPr>
                <w:ilvl w:val="0"/>
                <w:numId w:val="19"/>
              </w:numPr>
              <w:ind w:right="567"/>
              <w:jc w:val="both"/>
              <w:rPr>
                <w:rFonts w:ascii="Arial Narrow" w:eastAsia="Calibri" w:hAnsi="Arial Narrow"/>
                <w:bCs/>
                <w:color w:val="000000" w:themeColor="text1"/>
                <w:lang w:val="es-CO"/>
              </w:rPr>
            </w:pPr>
            <w:r>
              <w:rPr>
                <w:rFonts w:ascii="Arial Narrow" w:eastAsia="Calibri" w:hAnsi="Arial Narrow"/>
                <w:bCs/>
                <w:color w:val="000000" w:themeColor="text1"/>
                <w:lang w:val="es-CO"/>
              </w:rPr>
              <w:t>Ley 1751 de 2015. Artículo 25.</w:t>
            </w:r>
          </w:p>
          <w:p w14:paraId="1E28D30C" w14:textId="1D26FDEC" w:rsidR="00E77B73" w:rsidRDefault="00E77B73" w:rsidP="00522D0A">
            <w:pPr>
              <w:pStyle w:val="Prrafodelista"/>
              <w:numPr>
                <w:ilvl w:val="0"/>
                <w:numId w:val="19"/>
              </w:numPr>
              <w:ind w:right="567"/>
              <w:jc w:val="both"/>
              <w:rPr>
                <w:rFonts w:ascii="Arial Narrow" w:eastAsia="Calibri" w:hAnsi="Arial Narrow"/>
                <w:bCs/>
                <w:color w:val="000000" w:themeColor="text1"/>
                <w:lang w:val="es-CO"/>
              </w:rPr>
            </w:pPr>
            <w:r w:rsidRPr="00E77B73">
              <w:rPr>
                <w:rFonts w:ascii="Arial Narrow" w:eastAsia="Calibri" w:hAnsi="Arial Narrow"/>
                <w:bCs/>
                <w:color w:val="000000" w:themeColor="text1"/>
                <w:lang w:val="es-CO"/>
              </w:rPr>
              <w:t>Ley 1797 de 2016</w:t>
            </w:r>
            <w:r>
              <w:rPr>
                <w:rFonts w:ascii="Arial Narrow" w:eastAsia="Calibri" w:hAnsi="Arial Narrow"/>
                <w:bCs/>
                <w:color w:val="000000" w:themeColor="text1"/>
                <w:lang w:val="es-CO"/>
              </w:rPr>
              <w:t>, artículo 12</w:t>
            </w:r>
            <w:r w:rsidR="009B5BE8">
              <w:rPr>
                <w:rFonts w:ascii="Arial Narrow" w:eastAsia="Calibri" w:hAnsi="Arial Narrow"/>
                <w:bCs/>
                <w:color w:val="000000" w:themeColor="text1"/>
                <w:lang w:val="es-CO"/>
              </w:rPr>
              <w:t>.</w:t>
            </w:r>
          </w:p>
          <w:p w14:paraId="3E404F14" w14:textId="4CC8E721" w:rsidR="004F1CD9" w:rsidRPr="00522D0A" w:rsidRDefault="004F1CD9" w:rsidP="00522D0A">
            <w:pPr>
              <w:pStyle w:val="Prrafodelista"/>
              <w:numPr>
                <w:ilvl w:val="0"/>
                <w:numId w:val="19"/>
              </w:numPr>
              <w:ind w:right="567"/>
              <w:jc w:val="both"/>
              <w:rPr>
                <w:rFonts w:ascii="Arial Narrow" w:eastAsia="Calibri" w:hAnsi="Arial Narrow"/>
                <w:bCs/>
                <w:color w:val="000000" w:themeColor="text1"/>
                <w:lang w:val="es-CO"/>
              </w:rPr>
            </w:pPr>
            <w:r>
              <w:rPr>
                <w:rFonts w:ascii="Arial Narrow" w:eastAsia="Calibri" w:hAnsi="Arial Narrow"/>
                <w:bCs/>
                <w:color w:val="000000" w:themeColor="text1"/>
                <w:lang w:val="es-CO"/>
              </w:rPr>
              <w:t>Ley 1949 de 2019, artículo 7º.</w:t>
            </w:r>
          </w:p>
          <w:p w14:paraId="3F387502" w14:textId="1FC60C1B" w:rsidR="00E77B73" w:rsidRDefault="00E77B73" w:rsidP="00522D0A">
            <w:pPr>
              <w:pStyle w:val="Prrafodelista"/>
              <w:numPr>
                <w:ilvl w:val="0"/>
                <w:numId w:val="19"/>
              </w:numPr>
              <w:ind w:right="567"/>
              <w:jc w:val="both"/>
              <w:rPr>
                <w:rFonts w:ascii="Arial Narrow" w:eastAsia="Calibri" w:hAnsi="Arial Narrow"/>
                <w:bCs/>
                <w:color w:val="000000" w:themeColor="text1"/>
                <w:lang w:val="es-CO"/>
              </w:rPr>
            </w:pPr>
            <w:r w:rsidRPr="00E77B73">
              <w:rPr>
                <w:rFonts w:ascii="Arial Narrow" w:eastAsia="Calibri" w:hAnsi="Arial Narrow"/>
                <w:bCs/>
                <w:color w:val="000000" w:themeColor="text1"/>
                <w:lang w:val="es-CO"/>
              </w:rPr>
              <w:t>D</w:t>
            </w:r>
            <w:r>
              <w:rPr>
                <w:rFonts w:ascii="Arial Narrow" w:eastAsia="Calibri" w:hAnsi="Arial Narrow"/>
                <w:bCs/>
                <w:color w:val="000000" w:themeColor="text1"/>
                <w:lang w:val="es-CO"/>
              </w:rPr>
              <w:t xml:space="preserve">ecreto </w:t>
            </w:r>
            <w:r w:rsidRPr="00E77B73">
              <w:rPr>
                <w:rFonts w:ascii="Arial Narrow" w:eastAsia="Calibri" w:hAnsi="Arial Narrow"/>
                <w:bCs/>
                <w:color w:val="000000" w:themeColor="text1"/>
                <w:lang w:val="es-CO"/>
              </w:rPr>
              <w:t>624</w:t>
            </w:r>
            <w:r>
              <w:rPr>
                <w:rFonts w:ascii="Arial Narrow" w:eastAsia="Calibri" w:hAnsi="Arial Narrow"/>
                <w:bCs/>
                <w:color w:val="000000" w:themeColor="text1"/>
                <w:lang w:val="es-CO"/>
              </w:rPr>
              <w:t xml:space="preserve"> de 1</w:t>
            </w:r>
            <w:r w:rsidRPr="00E77B73">
              <w:rPr>
                <w:rFonts w:ascii="Arial Narrow" w:eastAsia="Calibri" w:hAnsi="Arial Narrow"/>
                <w:bCs/>
                <w:color w:val="000000" w:themeColor="text1"/>
                <w:lang w:val="es-CO"/>
              </w:rPr>
              <w:t>989</w:t>
            </w:r>
            <w:r>
              <w:rPr>
                <w:rFonts w:ascii="Arial Narrow" w:eastAsia="Calibri" w:hAnsi="Arial Narrow"/>
                <w:bCs/>
                <w:color w:val="000000" w:themeColor="text1"/>
                <w:lang w:val="es-CO"/>
              </w:rPr>
              <w:t xml:space="preserve"> – Estatuto Orgánico del Sistema Financiero,</w:t>
            </w:r>
            <w:r w:rsidR="001A3CB2">
              <w:rPr>
                <w:rFonts w:ascii="Arial Narrow" w:eastAsia="Calibri" w:hAnsi="Arial Narrow"/>
                <w:bCs/>
                <w:color w:val="000000" w:themeColor="text1"/>
                <w:lang w:val="es-CO"/>
              </w:rPr>
              <w:t xml:space="preserve"> </w:t>
            </w:r>
            <w:r w:rsidR="001A3CB2" w:rsidRPr="00E77B73">
              <w:rPr>
                <w:rFonts w:ascii="Arial Narrow" w:eastAsia="Calibri" w:hAnsi="Arial Narrow"/>
                <w:bCs/>
                <w:color w:val="000000" w:themeColor="text1"/>
                <w:lang w:val="es-CO"/>
              </w:rPr>
              <w:t>numera</w:t>
            </w:r>
            <w:r w:rsidR="001A3CB2">
              <w:rPr>
                <w:rFonts w:ascii="Arial Narrow" w:eastAsia="Calibri" w:hAnsi="Arial Narrow"/>
                <w:bCs/>
                <w:color w:val="000000" w:themeColor="text1"/>
                <w:lang w:val="es-CO"/>
              </w:rPr>
              <w:t xml:space="preserve">l 2 y 9 </w:t>
            </w:r>
            <w:r w:rsidR="001A3CB2" w:rsidRPr="00E77B73">
              <w:rPr>
                <w:rFonts w:ascii="Arial Narrow" w:eastAsia="Calibri" w:hAnsi="Arial Narrow"/>
                <w:bCs/>
                <w:color w:val="000000" w:themeColor="text1"/>
                <w:lang w:val="es-CO"/>
              </w:rPr>
              <w:t>del artículo 295</w:t>
            </w:r>
            <w:r w:rsidR="001A3CB2">
              <w:rPr>
                <w:rFonts w:ascii="Arial Narrow" w:eastAsia="Calibri" w:hAnsi="Arial Narrow"/>
                <w:bCs/>
                <w:color w:val="000000" w:themeColor="text1"/>
                <w:lang w:val="es-CO"/>
              </w:rPr>
              <w:t xml:space="preserve">, </w:t>
            </w:r>
            <w:r>
              <w:rPr>
                <w:rFonts w:ascii="Arial Narrow" w:eastAsia="Calibri" w:hAnsi="Arial Narrow"/>
                <w:bCs/>
                <w:color w:val="000000" w:themeColor="text1"/>
                <w:lang w:val="es-CO"/>
              </w:rPr>
              <w:t>299</w:t>
            </w:r>
            <w:r w:rsidR="009558CD">
              <w:rPr>
                <w:rFonts w:ascii="Arial Narrow" w:eastAsia="Calibri" w:hAnsi="Arial Narrow"/>
                <w:bCs/>
                <w:color w:val="000000" w:themeColor="text1"/>
                <w:lang w:val="es-CO"/>
              </w:rPr>
              <w:t xml:space="preserve"> y </w:t>
            </w:r>
            <w:r>
              <w:rPr>
                <w:rFonts w:ascii="Arial Narrow" w:eastAsia="Calibri" w:hAnsi="Arial Narrow"/>
                <w:bCs/>
                <w:color w:val="000000" w:themeColor="text1"/>
                <w:lang w:val="es-CO"/>
              </w:rPr>
              <w:t>300</w:t>
            </w:r>
            <w:r w:rsidR="009B5BE8">
              <w:rPr>
                <w:rFonts w:ascii="Arial Narrow" w:eastAsia="Calibri" w:hAnsi="Arial Narrow"/>
                <w:bCs/>
                <w:color w:val="000000" w:themeColor="text1"/>
                <w:lang w:val="es-CO"/>
              </w:rPr>
              <w:t>.</w:t>
            </w:r>
          </w:p>
          <w:p w14:paraId="27FA3978" w14:textId="11BB0A26" w:rsidR="00E77B73" w:rsidRDefault="00E77B73" w:rsidP="00522D0A">
            <w:pPr>
              <w:pStyle w:val="Prrafodelista"/>
              <w:numPr>
                <w:ilvl w:val="0"/>
                <w:numId w:val="19"/>
              </w:numPr>
              <w:ind w:right="567"/>
              <w:jc w:val="both"/>
              <w:rPr>
                <w:rFonts w:ascii="Arial Narrow" w:eastAsia="Calibri" w:hAnsi="Arial Narrow"/>
                <w:bCs/>
                <w:color w:val="000000" w:themeColor="text1"/>
                <w:lang w:val="es-CO"/>
              </w:rPr>
            </w:pPr>
            <w:r w:rsidRPr="00E77B73">
              <w:rPr>
                <w:rFonts w:ascii="Arial Narrow" w:eastAsia="Calibri" w:hAnsi="Arial Narrow"/>
                <w:bCs/>
                <w:color w:val="000000" w:themeColor="text1"/>
                <w:lang w:val="es-CO"/>
              </w:rPr>
              <w:t>Decreto Ley 663 de 1993</w:t>
            </w:r>
            <w:r>
              <w:rPr>
                <w:rFonts w:ascii="Arial Narrow" w:eastAsia="Calibri" w:hAnsi="Arial Narrow"/>
                <w:bCs/>
                <w:color w:val="000000" w:themeColor="text1"/>
                <w:lang w:val="es-CO"/>
              </w:rPr>
              <w:t xml:space="preserve">, </w:t>
            </w:r>
            <w:r w:rsidRPr="00E77B73">
              <w:rPr>
                <w:rFonts w:ascii="Arial Narrow" w:eastAsia="Calibri" w:hAnsi="Arial Narrow"/>
                <w:bCs/>
                <w:color w:val="000000" w:themeColor="text1"/>
                <w:lang w:val="es-CO"/>
              </w:rPr>
              <w:t>artículo 295-9</w:t>
            </w:r>
            <w:r w:rsidR="009B5BE8">
              <w:rPr>
                <w:rFonts w:ascii="Arial Narrow" w:eastAsia="Calibri" w:hAnsi="Arial Narrow"/>
                <w:bCs/>
                <w:color w:val="000000" w:themeColor="text1"/>
                <w:lang w:val="es-CO"/>
              </w:rPr>
              <w:t>.</w:t>
            </w:r>
          </w:p>
          <w:p w14:paraId="4FA40CC1" w14:textId="29D68264" w:rsidR="00CB3E9C" w:rsidRDefault="00CB3E9C" w:rsidP="00522D0A">
            <w:pPr>
              <w:pStyle w:val="Prrafodelista"/>
              <w:numPr>
                <w:ilvl w:val="0"/>
                <w:numId w:val="19"/>
              </w:numPr>
              <w:ind w:right="567"/>
              <w:jc w:val="both"/>
              <w:rPr>
                <w:rFonts w:ascii="Arial Narrow" w:eastAsia="Calibri" w:hAnsi="Arial Narrow"/>
                <w:bCs/>
                <w:color w:val="000000" w:themeColor="text1"/>
                <w:lang w:val="es-CO"/>
              </w:rPr>
            </w:pPr>
            <w:r>
              <w:rPr>
                <w:rFonts w:ascii="Arial Narrow" w:eastAsia="Calibri" w:hAnsi="Arial Narrow"/>
                <w:bCs/>
                <w:color w:val="000000" w:themeColor="text1"/>
                <w:lang w:val="es-CO"/>
              </w:rPr>
              <w:t>Decreto Ley 128 de 2002, artículo 3º.</w:t>
            </w:r>
          </w:p>
          <w:p w14:paraId="405397FD" w14:textId="59EB623C" w:rsidR="00E77B73" w:rsidRDefault="00E77B73" w:rsidP="00522D0A">
            <w:pPr>
              <w:pStyle w:val="Prrafodelista"/>
              <w:numPr>
                <w:ilvl w:val="0"/>
                <w:numId w:val="19"/>
              </w:numPr>
              <w:ind w:right="567"/>
              <w:jc w:val="both"/>
              <w:rPr>
                <w:rFonts w:ascii="Arial Narrow" w:eastAsia="Calibri" w:hAnsi="Arial Narrow"/>
                <w:bCs/>
                <w:color w:val="000000" w:themeColor="text1"/>
                <w:lang w:val="es-CO"/>
              </w:rPr>
            </w:pPr>
            <w:r w:rsidRPr="00E77B73">
              <w:rPr>
                <w:rFonts w:ascii="Arial Narrow" w:eastAsia="Calibri" w:hAnsi="Arial Narrow"/>
                <w:bCs/>
                <w:color w:val="000000" w:themeColor="text1"/>
                <w:lang w:val="es-CO"/>
              </w:rPr>
              <w:t>Decreto 3557 de 2008</w:t>
            </w:r>
          </w:p>
          <w:p w14:paraId="4D5053EE" w14:textId="5504A0C5" w:rsidR="00E77B73" w:rsidRPr="00E77B73" w:rsidRDefault="00E77B73" w:rsidP="00522D0A">
            <w:pPr>
              <w:pStyle w:val="Prrafodelista"/>
              <w:numPr>
                <w:ilvl w:val="0"/>
                <w:numId w:val="19"/>
              </w:numPr>
              <w:ind w:right="567"/>
              <w:jc w:val="both"/>
              <w:rPr>
                <w:rFonts w:ascii="Arial Narrow" w:eastAsia="Calibri" w:hAnsi="Arial Narrow"/>
                <w:bCs/>
                <w:color w:val="000000" w:themeColor="text1"/>
                <w:lang w:val="es-CO"/>
              </w:rPr>
            </w:pPr>
            <w:r w:rsidRPr="00E77B73">
              <w:rPr>
                <w:rFonts w:ascii="Arial Narrow" w:eastAsia="Calibri" w:hAnsi="Arial Narrow"/>
                <w:bCs/>
                <w:color w:val="000000" w:themeColor="text1"/>
                <w:lang w:val="es-CO"/>
              </w:rPr>
              <w:t>Decreto 2555 de 2010</w:t>
            </w:r>
            <w:r>
              <w:rPr>
                <w:rFonts w:ascii="Arial Narrow" w:eastAsia="Calibri" w:hAnsi="Arial Narrow"/>
                <w:bCs/>
                <w:color w:val="000000" w:themeColor="text1"/>
                <w:lang w:val="es-CO"/>
              </w:rPr>
              <w:t xml:space="preserve">, </w:t>
            </w:r>
            <w:r w:rsidRPr="00E77B73">
              <w:rPr>
                <w:rFonts w:ascii="Arial Narrow" w:eastAsia="Calibri" w:hAnsi="Arial Narrow"/>
                <w:bCs/>
                <w:color w:val="000000" w:themeColor="text1"/>
                <w:lang w:val="es-CO"/>
              </w:rPr>
              <w:t>artículo</w:t>
            </w:r>
            <w:r>
              <w:rPr>
                <w:rFonts w:ascii="Arial Narrow" w:eastAsia="Calibri" w:hAnsi="Arial Narrow"/>
                <w:bCs/>
                <w:color w:val="000000" w:themeColor="text1"/>
                <w:lang w:val="es-CO"/>
              </w:rPr>
              <w:t>s</w:t>
            </w:r>
            <w:r w:rsidRPr="00E77B73">
              <w:rPr>
                <w:rFonts w:ascii="Arial Narrow" w:eastAsia="Calibri" w:hAnsi="Arial Narrow"/>
                <w:bCs/>
                <w:color w:val="000000" w:themeColor="text1"/>
                <w:lang w:val="es-CO"/>
              </w:rPr>
              <w:t xml:space="preserve"> 9.1.3.2.1</w:t>
            </w:r>
            <w:r>
              <w:rPr>
                <w:rFonts w:ascii="Arial Narrow" w:eastAsia="Calibri" w:hAnsi="Arial Narrow"/>
                <w:bCs/>
                <w:color w:val="000000" w:themeColor="text1"/>
                <w:lang w:val="es-CO"/>
              </w:rPr>
              <w:t xml:space="preserve">, </w:t>
            </w:r>
            <w:r w:rsidRPr="00E77B73">
              <w:rPr>
                <w:rFonts w:ascii="Arial Narrow" w:eastAsia="Calibri" w:hAnsi="Arial Narrow"/>
                <w:bCs/>
                <w:color w:val="000000" w:themeColor="text1"/>
                <w:lang w:val="es-CO"/>
              </w:rPr>
              <w:t>9.1.3.2.3</w:t>
            </w:r>
            <w:r>
              <w:rPr>
                <w:rFonts w:ascii="Arial Narrow" w:eastAsia="Calibri" w:hAnsi="Arial Narrow"/>
                <w:bCs/>
                <w:color w:val="000000" w:themeColor="text1"/>
                <w:lang w:val="es-CO"/>
              </w:rPr>
              <w:t xml:space="preserve">, </w:t>
            </w:r>
            <w:r w:rsidRPr="00E77B73">
              <w:rPr>
                <w:rFonts w:ascii="Arial Narrow" w:eastAsia="Calibri" w:hAnsi="Arial Narrow"/>
                <w:bCs/>
                <w:color w:val="000000" w:themeColor="text1"/>
                <w:lang w:val="es-CO"/>
              </w:rPr>
              <w:t>9.1.3.2.4</w:t>
            </w:r>
            <w:r w:rsidR="001A3CB2">
              <w:rPr>
                <w:rFonts w:ascii="Arial Narrow" w:eastAsia="Calibri" w:hAnsi="Arial Narrow"/>
                <w:bCs/>
                <w:color w:val="000000" w:themeColor="text1"/>
                <w:lang w:val="es-CO"/>
              </w:rPr>
              <w:t xml:space="preserve">, </w:t>
            </w:r>
            <w:r w:rsidR="001A3CB2" w:rsidRPr="001A3CB2">
              <w:rPr>
                <w:rFonts w:ascii="Arial Narrow" w:eastAsia="Calibri" w:hAnsi="Arial Narrow"/>
                <w:bCs/>
                <w:color w:val="000000" w:themeColor="text1"/>
                <w:lang w:val="es-CO"/>
              </w:rPr>
              <w:t>9.1.3.2.7</w:t>
            </w:r>
            <w:r w:rsidR="001A3CB2">
              <w:rPr>
                <w:rFonts w:ascii="Arial Narrow" w:eastAsia="Calibri" w:hAnsi="Arial Narrow"/>
                <w:bCs/>
                <w:color w:val="000000" w:themeColor="text1"/>
                <w:lang w:val="es-CO"/>
              </w:rPr>
              <w:t xml:space="preserve">, </w:t>
            </w:r>
            <w:r w:rsidR="001A3CB2" w:rsidRPr="001A3CB2">
              <w:rPr>
                <w:rFonts w:ascii="Arial Narrow" w:eastAsia="Calibri" w:hAnsi="Arial Narrow"/>
                <w:bCs/>
                <w:color w:val="000000" w:themeColor="text1"/>
                <w:lang w:val="es-CO"/>
              </w:rPr>
              <w:t>9.1.3.6.3</w:t>
            </w:r>
            <w:r w:rsidR="001A3CB2">
              <w:rPr>
                <w:rFonts w:ascii="Arial Narrow" w:eastAsia="Calibri" w:hAnsi="Arial Narrow"/>
                <w:bCs/>
                <w:color w:val="000000" w:themeColor="text1"/>
                <w:lang w:val="es-CO"/>
              </w:rPr>
              <w:t xml:space="preserve">, </w:t>
            </w:r>
            <w:r w:rsidR="001A3CB2" w:rsidRPr="001A3CB2">
              <w:rPr>
                <w:rFonts w:ascii="Arial Narrow" w:eastAsia="Calibri" w:hAnsi="Arial Narrow"/>
                <w:bCs/>
                <w:color w:val="000000" w:themeColor="text1"/>
                <w:lang w:val="es-CO"/>
              </w:rPr>
              <w:t>9.1.3.6.4</w:t>
            </w:r>
            <w:r w:rsidR="009558CD">
              <w:rPr>
                <w:rFonts w:ascii="Arial Narrow" w:eastAsia="Calibri" w:hAnsi="Arial Narrow"/>
                <w:bCs/>
                <w:color w:val="000000" w:themeColor="text1"/>
                <w:lang w:val="es-CO"/>
              </w:rPr>
              <w:t xml:space="preserve"> y </w:t>
            </w:r>
            <w:r w:rsidR="001A3CB2" w:rsidRPr="001A3CB2">
              <w:rPr>
                <w:rFonts w:ascii="Arial Narrow" w:eastAsia="Calibri" w:hAnsi="Arial Narrow"/>
                <w:bCs/>
                <w:color w:val="000000" w:themeColor="text1"/>
                <w:lang w:val="es-CO"/>
              </w:rPr>
              <w:t>9.1.3.6.5</w:t>
            </w:r>
            <w:r w:rsidR="009B5BE8">
              <w:rPr>
                <w:rFonts w:ascii="Arial Narrow" w:eastAsia="Calibri" w:hAnsi="Arial Narrow"/>
                <w:bCs/>
                <w:color w:val="000000" w:themeColor="text1"/>
                <w:lang w:val="es-CO"/>
              </w:rPr>
              <w:t>.</w:t>
            </w:r>
          </w:p>
          <w:p w14:paraId="6E1B6E27" w14:textId="7F808179" w:rsidR="00522D0A" w:rsidRPr="00522D0A" w:rsidRDefault="00522D0A" w:rsidP="00522D0A">
            <w:pPr>
              <w:pStyle w:val="Prrafodelista"/>
              <w:numPr>
                <w:ilvl w:val="0"/>
                <w:numId w:val="19"/>
              </w:numPr>
              <w:ind w:right="567"/>
              <w:jc w:val="both"/>
              <w:rPr>
                <w:rFonts w:ascii="Arial Narrow" w:eastAsia="Calibri" w:hAnsi="Arial Narrow"/>
                <w:bCs/>
                <w:color w:val="000000" w:themeColor="text1"/>
                <w:lang w:val="es-CO"/>
              </w:rPr>
            </w:pPr>
            <w:r w:rsidRPr="00522D0A">
              <w:rPr>
                <w:rFonts w:ascii="Arial Narrow" w:eastAsia="Century Gothic" w:hAnsi="Arial Narrow" w:cs="Century Gothic"/>
              </w:rPr>
              <w:lastRenderedPageBreak/>
              <w:t>Decreto 780 de 2016, artículo 2.5.5.1.1</w:t>
            </w:r>
            <w:r w:rsidR="009558CD">
              <w:rPr>
                <w:rFonts w:ascii="Arial Narrow" w:eastAsia="Century Gothic" w:hAnsi="Arial Narrow" w:cs="Century Gothic"/>
              </w:rPr>
              <w:t xml:space="preserve"> y 2.6.4.1.5.</w:t>
            </w:r>
          </w:p>
          <w:p w14:paraId="004AD7A2" w14:textId="3BC5F77C" w:rsidR="00522D0A" w:rsidRDefault="00E77B73" w:rsidP="00522D0A">
            <w:pPr>
              <w:pStyle w:val="Prrafodelista"/>
              <w:numPr>
                <w:ilvl w:val="0"/>
                <w:numId w:val="19"/>
              </w:numPr>
              <w:ind w:right="567"/>
              <w:jc w:val="both"/>
              <w:rPr>
                <w:rFonts w:ascii="Arial Narrow" w:eastAsia="Calibri" w:hAnsi="Arial Narrow"/>
                <w:bCs/>
                <w:color w:val="000000" w:themeColor="text1"/>
                <w:lang w:val="es-CO"/>
              </w:rPr>
            </w:pPr>
            <w:r w:rsidRPr="00E77B73">
              <w:rPr>
                <w:rFonts w:ascii="Arial Narrow" w:eastAsia="Calibri" w:hAnsi="Arial Narrow"/>
                <w:bCs/>
                <w:color w:val="000000" w:themeColor="text1"/>
                <w:lang w:val="es-CO"/>
              </w:rPr>
              <w:t>Resolución No. 574 de 2017</w:t>
            </w:r>
            <w:r>
              <w:rPr>
                <w:rFonts w:ascii="Arial Narrow" w:eastAsia="Calibri" w:hAnsi="Arial Narrow"/>
                <w:bCs/>
                <w:color w:val="000000" w:themeColor="text1"/>
                <w:lang w:val="es-CO"/>
              </w:rPr>
              <w:t xml:space="preserve">, artículo </w:t>
            </w:r>
            <w:r w:rsidR="001A3CB2">
              <w:rPr>
                <w:rFonts w:ascii="Arial Narrow" w:eastAsia="Calibri" w:hAnsi="Arial Narrow"/>
                <w:bCs/>
                <w:color w:val="000000" w:themeColor="text1"/>
                <w:lang w:val="es-CO"/>
              </w:rPr>
              <w:t>2º</w:t>
            </w:r>
            <w:r w:rsidR="009558CD">
              <w:rPr>
                <w:rFonts w:ascii="Arial Narrow" w:eastAsia="Calibri" w:hAnsi="Arial Narrow"/>
                <w:bCs/>
                <w:color w:val="000000" w:themeColor="text1"/>
                <w:lang w:val="es-CO"/>
              </w:rPr>
              <w:t xml:space="preserve"> y</w:t>
            </w:r>
            <w:r w:rsidR="001A3CB2">
              <w:rPr>
                <w:rFonts w:ascii="Arial Narrow" w:eastAsia="Calibri" w:hAnsi="Arial Narrow"/>
                <w:bCs/>
                <w:color w:val="000000" w:themeColor="text1"/>
                <w:lang w:val="es-CO"/>
              </w:rPr>
              <w:t xml:space="preserve"> 7º</w:t>
            </w:r>
            <w:r w:rsidR="009B5BE8">
              <w:rPr>
                <w:rFonts w:ascii="Arial Narrow" w:eastAsia="Calibri" w:hAnsi="Arial Narrow"/>
                <w:bCs/>
                <w:color w:val="000000" w:themeColor="text1"/>
                <w:lang w:val="es-CO"/>
              </w:rPr>
              <w:t>.</w:t>
            </w:r>
          </w:p>
          <w:p w14:paraId="50E39EF2" w14:textId="77777777" w:rsidR="009558CD" w:rsidRPr="00522D0A" w:rsidRDefault="009558CD" w:rsidP="009558CD">
            <w:pPr>
              <w:pStyle w:val="Prrafodelista"/>
              <w:ind w:left="1196" w:right="567"/>
              <w:jc w:val="both"/>
              <w:rPr>
                <w:rFonts w:ascii="Arial Narrow" w:eastAsia="Calibri" w:hAnsi="Arial Narrow"/>
                <w:bCs/>
                <w:color w:val="000000" w:themeColor="text1"/>
                <w:lang w:val="es-CO"/>
              </w:rPr>
            </w:pPr>
          </w:p>
          <w:p w14:paraId="4E5E5307" w14:textId="3A1A08DF" w:rsidR="009D509B" w:rsidRPr="007F2B6C" w:rsidRDefault="00FC1446" w:rsidP="00461509">
            <w:pPr>
              <w:pStyle w:val="TableParagraph"/>
              <w:numPr>
                <w:ilvl w:val="0"/>
                <w:numId w:val="2"/>
              </w:numPr>
              <w:tabs>
                <w:tab w:val="left" w:pos="584"/>
              </w:tabs>
              <w:ind w:left="836" w:right="567"/>
              <w:jc w:val="both"/>
              <w:rPr>
                <w:rFonts w:ascii="Arial Narrow" w:hAnsi="Arial Narrow"/>
                <w:b/>
                <w:bCs/>
                <w:color w:val="000000" w:themeColor="text1"/>
                <w:lang w:val="es-CO"/>
              </w:rPr>
            </w:pPr>
            <w:r w:rsidRPr="00DA5794">
              <w:rPr>
                <w:rFonts w:ascii="Arial Narrow" w:hAnsi="Arial Narrow"/>
                <w:b/>
                <w:bCs/>
                <w:color w:val="000000" w:themeColor="text1"/>
                <w:lang w:val="es-CO"/>
              </w:rPr>
              <w:t>Problema</w:t>
            </w:r>
            <w:r w:rsidR="009D509B" w:rsidRPr="007F2B6C">
              <w:rPr>
                <w:rFonts w:ascii="Arial Narrow" w:hAnsi="Arial Narrow"/>
                <w:b/>
                <w:bCs/>
                <w:color w:val="000000" w:themeColor="text1"/>
                <w:lang w:val="es-CO"/>
              </w:rPr>
              <w:t xml:space="preserve"> Jurídico</w:t>
            </w:r>
          </w:p>
          <w:p w14:paraId="13A4060B" w14:textId="77777777" w:rsidR="009D509B" w:rsidRPr="007F2B6C" w:rsidRDefault="009D509B" w:rsidP="007F2B6C">
            <w:pPr>
              <w:pStyle w:val="TableParagraph"/>
              <w:tabs>
                <w:tab w:val="left" w:pos="584"/>
              </w:tabs>
              <w:ind w:left="567" w:right="567"/>
              <w:jc w:val="both"/>
              <w:rPr>
                <w:rFonts w:ascii="Arial Narrow" w:hAnsi="Arial Narrow"/>
                <w:color w:val="000000" w:themeColor="text1"/>
                <w:lang w:val="es-CO"/>
              </w:rPr>
            </w:pPr>
          </w:p>
          <w:p w14:paraId="43A8CEAD" w14:textId="3EC52509" w:rsidR="00C93040" w:rsidRPr="00C93040" w:rsidRDefault="00C93040" w:rsidP="00C72791">
            <w:pPr>
              <w:pStyle w:val="TableParagraph"/>
              <w:tabs>
                <w:tab w:val="left" w:pos="584"/>
              </w:tabs>
              <w:ind w:left="476" w:right="567"/>
              <w:jc w:val="both"/>
            </w:pPr>
            <w:r>
              <w:rPr>
                <w:rFonts w:ascii="Arial Narrow" w:hAnsi="Arial Narrow"/>
                <w:color w:val="000000" w:themeColor="text1"/>
              </w:rPr>
              <w:t>Determinar si e</w:t>
            </w:r>
            <w:r w:rsidR="00A05C5A" w:rsidRPr="00A05C5A">
              <w:rPr>
                <w:rFonts w:ascii="Arial Narrow" w:hAnsi="Arial Narrow"/>
                <w:color w:val="000000" w:themeColor="text1"/>
              </w:rPr>
              <w:t xml:space="preserve">s procedente la mediación entre la demandante, la Administradora de los Recursos del Sistema General de Seguridad Social en Salud (ADRES), y la demandada, </w:t>
            </w:r>
            <w:r w:rsidR="004974CC">
              <w:rPr>
                <w:rFonts w:ascii="Arial Narrow" w:hAnsi="Arial Narrow"/>
                <w:color w:val="000000" w:themeColor="text1"/>
              </w:rPr>
              <w:t>Superintendencia Nacional de Salud</w:t>
            </w:r>
            <w:r w:rsidR="00A05C5A" w:rsidRPr="00A05C5A">
              <w:rPr>
                <w:rFonts w:ascii="Arial Narrow" w:hAnsi="Arial Narrow"/>
                <w:color w:val="000000" w:themeColor="text1"/>
              </w:rPr>
              <w:t>, en</w:t>
            </w:r>
            <w:r w:rsidR="005F78F7">
              <w:rPr>
                <w:rFonts w:ascii="Arial Narrow" w:hAnsi="Arial Narrow"/>
                <w:color w:val="000000" w:themeColor="text1"/>
              </w:rPr>
              <w:t xml:space="preserve"> razón a que esa entidad no aplicó</w:t>
            </w:r>
            <w:r w:rsidR="005F78F7" w:rsidRPr="005F78F7">
              <w:rPr>
                <w:rFonts w:ascii="Arial Narrow" w:hAnsi="Arial Narrow"/>
                <w:color w:val="000000" w:themeColor="text1"/>
              </w:rPr>
              <w:t xml:space="preserve"> </w:t>
            </w:r>
            <w:r w:rsidR="005F78F7">
              <w:rPr>
                <w:rFonts w:ascii="Arial Narrow" w:hAnsi="Arial Narrow"/>
                <w:color w:val="000000" w:themeColor="text1"/>
              </w:rPr>
              <w:t>n</w:t>
            </w:r>
            <w:r>
              <w:rPr>
                <w:rFonts w:ascii="Arial Narrow" w:hAnsi="Arial Narrow"/>
                <w:color w:val="000000" w:themeColor="text1"/>
              </w:rPr>
              <w:t>i</w:t>
            </w:r>
            <w:r w:rsidR="005F78F7">
              <w:rPr>
                <w:rFonts w:ascii="Arial Narrow" w:hAnsi="Arial Narrow"/>
                <w:color w:val="000000" w:themeColor="text1"/>
              </w:rPr>
              <w:t xml:space="preserve"> agotó</w:t>
            </w:r>
            <w:r w:rsidR="005F78F7" w:rsidRPr="005F78F7">
              <w:rPr>
                <w:rFonts w:ascii="Arial Narrow" w:hAnsi="Arial Narrow"/>
                <w:color w:val="000000" w:themeColor="text1"/>
              </w:rPr>
              <w:t xml:space="preserve"> el procedimiento descrito en el artículo 12 de la Ley 1797 de 2016 y</w:t>
            </w:r>
            <w:r>
              <w:rPr>
                <w:rFonts w:ascii="Arial Narrow" w:hAnsi="Arial Narrow"/>
                <w:color w:val="000000" w:themeColor="text1"/>
              </w:rPr>
              <w:t xml:space="preserve"> la</w:t>
            </w:r>
            <w:r w:rsidR="005F78F7" w:rsidRPr="005F78F7">
              <w:rPr>
                <w:rFonts w:ascii="Arial Narrow" w:hAnsi="Arial Narrow"/>
                <w:color w:val="000000" w:themeColor="text1"/>
              </w:rPr>
              <w:t xml:space="preserve"> Resolución 574 de 2017, para así culminar de manera satisfactoria el proceso de cierre y aclaración de los asuntos pendientes ante el entonces FOSYGA, hoy ADRES</w:t>
            </w:r>
            <w:r>
              <w:rPr>
                <w:rFonts w:ascii="Arial Narrow" w:hAnsi="Arial Narrow"/>
                <w:color w:val="000000" w:themeColor="text1"/>
              </w:rPr>
              <w:t xml:space="preserve"> y de conformidad con la omisión  en el</w:t>
            </w:r>
            <w:r>
              <w:t xml:space="preserve"> </w:t>
            </w:r>
            <w:r w:rsidRPr="00C93040">
              <w:rPr>
                <w:rFonts w:ascii="Arial Narrow" w:hAnsi="Arial Narrow"/>
                <w:color w:val="000000" w:themeColor="text1"/>
              </w:rPr>
              <w:t>deber de control y seguimiento</w:t>
            </w:r>
            <w:r>
              <w:rPr>
                <w:rFonts w:ascii="Arial Narrow" w:hAnsi="Arial Narrow"/>
                <w:color w:val="000000" w:themeColor="text1"/>
              </w:rPr>
              <w:t xml:space="preserve"> en que incurrió dicha entidad, frente a </w:t>
            </w:r>
            <w:r w:rsidRPr="00C93040">
              <w:rPr>
                <w:rFonts w:ascii="Arial Narrow" w:hAnsi="Arial Narrow"/>
                <w:color w:val="000000" w:themeColor="text1"/>
              </w:rPr>
              <w:t>las actuaciones desplegadas por el Agente Especial Liquidador</w:t>
            </w:r>
            <w:r>
              <w:rPr>
                <w:rFonts w:ascii="Arial Narrow" w:hAnsi="Arial Narrow"/>
                <w:color w:val="000000" w:themeColor="text1"/>
              </w:rPr>
              <w:t xml:space="preserve">, </w:t>
            </w:r>
            <w:r w:rsidRPr="00C93040">
              <w:rPr>
                <w:rFonts w:ascii="Arial Narrow" w:hAnsi="Arial Narrow"/>
                <w:color w:val="000000" w:themeColor="text1"/>
              </w:rPr>
              <w:t>así como de los actos administrativos objeto d</w:t>
            </w:r>
            <w:r>
              <w:rPr>
                <w:rFonts w:ascii="Arial Narrow" w:hAnsi="Arial Narrow"/>
                <w:color w:val="000000" w:themeColor="text1"/>
              </w:rPr>
              <w:t>e la demanda</w:t>
            </w:r>
            <w:r w:rsidRPr="00C93040">
              <w:rPr>
                <w:rFonts w:ascii="Arial Narrow" w:hAnsi="Arial Narrow"/>
                <w:color w:val="000000" w:themeColor="text1"/>
              </w:rPr>
              <w:t>.</w:t>
            </w:r>
          </w:p>
          <w:p w14:paraId="0EADDF8A" w14:textId="52837D76" w:rsidR="009D509B" w:rsidRPr="007F2B6C" w:rsidRDefault="009D509B" w:rsidP="001343BE">
            <w:pPr>
              <w:pStyle w:val="TableParagraph"/>
              <w:tabs>
                <w:tab w:val="left" w:pos="584"/>
              </w:tabs>
              <w:ind w:right="567"/>
              <w:jc w:val="both"/>
              <w:rPr>
                <w:rFonts w:ascii="Arial Narrow" w:hAnsi="Arial Narrow"/>
                <w:color w:val="FF0000"/>
                <w:lang w:val="es-CO"/>
              </w:rPr>
            </w:pPr>
          </w:p>
          <w:p w14:paraId="6787DECE" w14:textId="29A17180" w:rsidR="00347BCA" w:rsidRDefault="00347BCA" w:rsidP="00C72791">
            <w:pPr>
              <w:pStyle w:val="TableParagraph"/>
              <w:numPr>
                <w:ilvl w:val="0"/>
                <w:numId w:val="2"/>
              </w:numPr>
              <w:tabs>
                <w:tab w:val="left" w:pos="584"/>
              </w:tabs>
              <w:ind w:left="836" w:right="567"/>
              <w:jc w:val="both"/>
              <w:rPr>
                <w:rFonts w:ascii="Arial Narrow" w:hAnsi="Arial Narrow"/>
                <w:b/>
                <w:bCs/>
                <w:color w:val="000000" w:themeColor="text1"/>
                <w:lang w:val="es-CO"/>
              </w:rPr>
            </w:pPr>
            <w:r w:rsidRPr="00DA5794">
              <w:rPr>
                <w:rFonts w:ascii="Arial Narrow" w:hAnsi="Arial Narrow"/>
                <w:b/>
                <w:bCs/>
                <w:color w:val="000000" w:themeColor="text1"/>
                <w:lang w:val="es-CO"/>
              </w:rPr>
              <w:t>ANÁLISIS DEL CASO CONCRETO</w:t>
            </w:r>
          </w:p>
          <w:p w14:paraId="5A0ACD18" w14:textId="77777777" w:rsidR="00FA2AB2" w:rsidRDefault="00FA2AB2" w:rsidP="00FA2AB2">
            <w:pPr>
              <w:pStyle w:val="TableParagraph"/>
              <w:tabs>
                <w:tab w:val="left" w:pos="584"/>
              </w:tabs>
              <w:ind w:left="476" w:right="567"/>
              <w:jc w:val="both"/>
              <w:rPr>
                <w:rFonts w:ascii="Arial Narrow" w:hAnsi="Arial Narrow"/>
                <w:b/>
                <w:bCs/>
                <w:color w:val="000000" w:themeColor="text1"/>
                <w:lang w:val="es-CO"/>
              </w:rPr>
            </w:pPr>
          </w:p>
          <w:p w14:paraId="7F79E304" w14:textId="0E1CBFE2" w:rsidR="00FA2AB2" w:rsidRDefault="00FA2AB2" w:rsidP="00FA2AB2">
            <w:pPr>
              <w:pStyle w:val="TableParagraph"/>
              <w:tabs>
                <w:tab w:val="left" w:pos="584"/>
              </w:tabs>
              <w:ind w:left="476" w:right="567"/>
              <w:jc w:val="both"/>
              <w:rPr>
                <w:rFonts w:ascii="Arial Narrow" w:hAnsi="Arial Narrow"/>
                <w:b/>
                <w:bCs/>
                <w:color w:val="000000" w:themeColor="text1"/>
                <w:lang w:val="es-CO"/>
              </w:rPr>
            </w:pPr>
            <w:r>
              <w:rPr>
                <w:rFonts w:ascii="Arial Narrow" w:hAnsi="Arial Narrow"/>
                <w:b/>
                <w:bCs/>
                <w:color w:val="000000" w:themeColor="text1"/>
                <w:lang w:val="es-CO"/>
              </w:rPr>
              <w:t>7.1. Recursos adeudados a la ADRES por parte de COOMEVA EPS LIQUIDADA</w:t>
            </w:r>
          </w:p>
          <w:p w14:paraId="2BDD0D96" w14:textId="77777777" w:rsidR="00E91139" w:rsidRDefault="00E91139" w:rsidP="00E91139">
            <w:pPr>
              <w:pStyle w:val="TableParagraph"/>
              <w:tabs>
                <w:tab w:val="left" w:pos="584"/>
              </w:tabs>
              <w:ind w:left="476" w:right="567"/>
              <w:jc w:val="both"/>
              <w:rPr>
                <w:rFonts w:ascii="Arial Narrow" w:hAnsi="Arial Narrow"/>
                <w:b/>
                <w:bCs/>
                <w:color w:val="000000" w:themeColor="text1"/>
                <w:lang w:val="es-CO"/>
              </w:rPr>
            </w:pPr>
          </w:p>
          <w:p w14:paraId="2F05F4DB" w14:textId="452AC0C3" w:rsidR="00B71CAA" w:rsidRPr="00B71CAA" w:rsidRDefault="00B71CAA" w:rsidP="00B71CAA">
            <w:pPr>
              <w:pStyle w:val="TableParagraph"/>
              <w:tabs>
                <w:tab w:val="left" w:pos="584"/>
              </w:tabs>
              <w:ind w:left="476" w:right="567"/>
              <w:jc w:val="both"/>
              <w:rPr>
                <w:rFonts w:ascii="Arial Narrow" w:hAnsi="Arial Narrow"/>
                <w:color w:val="000000" w:themeColor="text1"/>
              </w:rPr>
            </w:pPr>
            <w:r w:rsidRPr="00B71CAA">
              <w:rPr>
                <w:rFonts w:ascii="Arial Narrow" w:hAnsi="Arial Narrow"/>
                <w:color w:val="000000" w:themeColor="text1"/>
              </w:rPr>
              <w:t xml:space="preserve">A continuación, se presenta el balance de los recursos del Sistema de Seguridad Social en Salud que COOMEVA E.P.S </w:t>
            </w:r>
            <w:r w:rsidRPr="00B71CAA">
              <w:rPr>
                <w:rFonts w:ascii="Arial Narrow" w:hAnsi="Arial Narrow"/>
                <w:color w:val="000000" w:themeColor="text1"/>
              </w:rPr>
              <w:t>LIQUIDADA</w:t>
            </w:r>
            <w:r w:rsidRPr="00B71CAA">
              <w:rPr>
                <w:rFonts w:ascii="Arial Narrow" w:hAnsi="Arial Narrow"/>
                <w:color w:val="000000" w:themeColor="text1"/>
              </w:rPr>
              <w:t xml:space="preserve"> tiene pendiente para reintegrar al SGSSS, </w:t>
            </w:r>
            <w:r>
              <w:rPr>
                <w:rFonts w:ascii="Arial Narrow" w:hAnsi="Arial Narrow"/>
                <w:color w:val="000000" w:themeColor="text1"/>
              </w:rPr>
              <w:t>por los conceptos que se indican a continuación.</w:t>
            </w:r>
            <w:r w:rsidRPr="00B71CAA">
              <w:rPr>
                <w:rFonts w:ascii="Arial Narrow" w:hAnsi="Arial Narrow"/>
                <w:color w:val="000000" w:themeColor="text1"/>
              </w:rPr>
              <w:t xml:space="preserve">  </w:t>
            </w:r>
          </w:p>
          <w:p w14:paraId="547C9425" w14:textId="77777777" w:rsidR="00B71CAA" w:rsidRDefault="00B71CAA" w:rsidP="00B71CAA">
            <w:pPr>
              <w:pStyle w:val="TableParagraph"/>
              <w:tabs>
                <w:tab w:val="left" w:pos="584"/>
              </w:tabs>
              <w:ind w:right="567"/>
              <w:jc w:val="both"/>
              <w:rPr>
                <w:rFonts w:ascii="Arial Narrow" w:hAnsi="Arial Narrow"/>
                <w:b/>
                <w:bCs/>
                <w:color w:val="000000" w:themeColor="text1"/>
              </w:rPr>
            </w:pPr>
          </w:p>
          <w:p w14:paraId="66DAC442" w14:textId="4BDD7BA2" w:rsidR="00B71CAA" w:rsidRDefault="00B71CAA" w:rsidP="00B71CAA">
            <w:pPr>
              <w:pStyle w:val="TableParagraph"/>
              <w:tabs>
                <w:tab w:val="left" w:pos="584"/>
              </w:tabs>
              <w:ind w:left="476" w:right="567"/>
              <w:jc w:val="center"/>
              <w:rPr>
                <w:rFonts w:ascii="Arial Narrow" w:hAnsi="Arial Narrow"/>
                <w:b/>
                <w:bCs/>
                <w:color w:val="000000" w:themeColor="text1"/>
              </w:rPr>
            </w:pPr>
            <w:r w:rsidRPr="00B71CAA">
              <w:rPr>
                <w:rFonts w:ascii="Arial Narrow" w:hAnsi="Arial Narrow"/>
                <w:b/>
                <w:bCs/>
                <w:color w:val="000000" w:themeColor="text1"/>
              </w:rPr>
              <w:drawing>
                <wp:inline distT="0" distB="0" distL="0" distR="0" wp14:anchorId="6EA457EE" wp14:editId="1CAB8DED">
                  <wp:extent cx="5305979" cy="2065655"/>
                  <wp:effectExtent l="0" t="0" r="9525" b="0"/>
                  <wp:docPr id="182111492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114928" name=""/>
                          <pic:cNvPicPr/>
                        </pic:nvPicPr>
                        <pic:blipFill rotWithShape="1">
                          <a:blip r:embed="rId13"/>
                          <a:srcRect l="4097" t="12721" r="6778" b="5691"/>
                          <a:stretch/>
                        </pic:blipFill>
                        <pic:spPr bwMode="auto">
                          <a:xfrm>
                            <a:off x="0" y="0"/>
                            <a:ext cx="5423063" cy="2111237"/>
                          </a:xfrm>
                          <a:prstGeom prst="rect">
                            <a:avLst/>
                          </a:prstGeom>
                          <a:ln>
                            <a:noFill/>
                          </a:ln>
                          <a:extLst>
                            <a:ext uri="{53640926-AAD7-44D8-BBD7-CCE9431645EC}">
                              <a14:shadowObscured xmlns:a14="http://schemas.microsoft.com/office/drawing/2010/main"/>
                            </a:ext>
                          </a:extLst>
                        </pic:spPr>
                      </pic:pic>
                    </a:graphicData>
                  </a:graphic>
                </wp:inline>
              </w:drawing>
            </w:r>
          </w:p>
          <w:p w14:paraId="5478BF23" w14:textId="74C041EF" w:rsidR="00B71CAA" w:rsidRPr="00B71CAA" w:rsidRDefault="00B71CAA" w:rsidP="00B71CAA">
            <w:pPr>
              <w:pStyle w:val="TableParagraph"/>
              <w:tabs>
                <w:tab w:val="left" w:pos="584"/>
              </w:tabs>
              <w:ind w:left="476" w:right="567"/>
              <w:jc w:val="both"/>
              <w:rPr>
                <w:rFonts w:ascii="Arial Narrow" w:hAnsi="Arial Narrow"/>
                <w:b/>
                <w:bCs/>
                <w:color w:val="000000" w:themeColor="text1"/>
              </w:rPr>
            </w:pPr>
          </w:p>
          <w:p w14:paraId="31A2A6CE" w14:textId="246FBB96" w:rsidR="00B71CAA" w:rsidRPr="00B71CAA" w:rsidRDefault="00B71CAA" w:rsidP="00B71CAA">
            <w:pPr>
              <w:pStyle w:val="TableParagraph"/>
              <w:numPr>
                <w:ilvl w:val="0"/>
                <w:numId w:val="21"/>
              </w:numPr>
              <w:tabs>
                <w:tab w:val="left" w:pos="584"/>
              </w:tabs>
              <w:ind w:right="567"/>
              <w:jc w:val="both"/>
              <w:rPr>
                <w:rFonts w:ascii="Arial Narrow" w:hAnsi="Arial Narrow"/>
                <w:b/>
                <w:bCs/>
                <w:color w:val="000000" w:themeColor="text1"/>
              </w:rPr>
            </w:pPr>
            <w:r w:rsidRPr="00B71CAA">
              <w:rPr>
                <w:rFonts w:ascii="Arial Narrow" w:hAnsi="Arial Narrow"/>
                <w:b/>
                <w:bCs/>
                <w:color w:val="000000" w:themeColor="text1"/>
              </w:rPr>
              <w:t xml:space="preserve">Reintegro de recursos del aseguramiento. </w:t>
            </w:r>
          </w:p>
          <w:p w14:paraId="2462C1BE" w14:textId="279BD2E8" w:rsidR="00B71CAA" w:rsidRPr="00B71CAA" w:rsidRDefault="00B71CAA" w:rsidP="00B71CAA">
            <w:pPr>
              <w:pStyle w:val="TableParagraph"/>
              <w:tabs>
                <w:tab w:val="left" w:pos="584"/>
              </w:tabs>
              <w:ind w:left="476" w:right="567"/>
              <w:jc w:val="both"/>
              <w:rPr>
                <w:rFonts w:ascii="Arial Narrow" w:hAnsi="Arial Narrow"/>
                <w:b/>
                <w:bCs/>
                <w:color w:val="000000" w:themeColor="text1"/>
              </w:rPr>
            </w:pPr>
            <w:r w:rsidRPr="00B71CAA">
              <w:rPr>
                <w:rFonts w:ascii="Arial Narrow" w:hAnsi="Arial Narrow"/>
                <w:b/>
                <w:bCs/>
                <w:color w:val="000000" w:themeColor="text1"/>
              </w:rPr>
              <w:t xml:space="preserve"> </w:t>
            </w:r>
          </w:p>
          <w:p w14:paraId="1B22FC22" w14:textId="1A7D6F2A" w:rsidR="00B71CAA" w:rsidRPr="00B71CAA" w:rsidRDefault="00B71CAA" w:rsidP="00B71CAA">
            <w:pPr>
              <w:pStyle w:val="TableParagraph"/>
              <w:tabs>
                <w:tab w:val="left" w:pos="584"/>
              </w:tabs>
              <w:ind w:left="476" w:right="567"/>
              <w:jc w:val="both"/>
              <w:rPr>
                <w:rFonts w:ascii="Arial Narrow" w:hAnsi="Arial Narrow"/>
                <w:color w:val="000000" w:themeColor="text1"/>
                <w:lang w:val="es-CO"/>
              </w:rPr>
            </w:pPr>
            <w:r w:rsidRPr="00B71CAA">
              <w:rPr>
                <w:rFonts w:ascii="Arial Narrow" w:hAnsi="Arial Narrow"/>
                <w:color w:val="000000" w:themeColor="text1"/>
                <w:lang w:val="es-CO"/>
              </w:rPr>
              <w:t xml:space="preserve">Ahora, de la acreencia inicialmente presentada, Coomeva EPS </w:t>
            </w:r>
            <w:r w:rsidR="0023730F">
              <w:rPr>
                <w:rFonts w:ascii="Arial Narrow" w:hAnsi="Arial Narrow"/>
                <w:color w:val="000000" w:themeColor="text1"/>
                <w:lang w:val="es-CO"/>
              </w:rPr>
              <w:t>LIQUIDADA</w:t>
            </w:r>
            <w:r w:rsidRPr="00B71CAA">
              <w:rPr>
                <w:rFonts w:ascii="Arial Narrow" w:hAnsi="Arial Narrow"/>
                <w:color w:val="000000" w:themeColor="text1"/>
                <w:lang w:val="es-CO"/>
              </w:rPr>
              <w:t xml:space="preserve"> adeuda al SGSSS el monto que se derive del procedimiento de reintegro que se enlista a continuación: </w:t>
            </w:r>
          </w:p>
          <w:p w14:paraId="282F71E7" w14:textId="77777777" w:rsidR="00B71CAA" w:rsidRPr="00B71CAA" w:rsidRDefault="00B71CAA" w:rsidP="00B71CAA">
            <w:pPr>
              <w:pStyle w:val="TableParagraph"/>
              <w:tabs>
                <w:tab w:val="left" w:pos="584"/>
              </w:tabs>
              <w:ind w:left="476" w:right="567"/>
              <w:jc w:val="both"/>
              <w:rPr>
                <w:rFonts w:ascii="Arial Narrow" w:hAnsi="Arial Narrow"/>
                <w:color w:val="000000" w:themeColor="text1"/>
                <w:lang w:val="es-CO"/>
              </w:rPr>
            </w:pPr>
            <w:r w:rsidRPr="00B71CAA">
              <w:rPr>
                <w:rFonts w:ascii="Arial Narrow" w:hAnsi="Arial Narrow"/>
                <w:color w:val="000000" w:themeColor="text1"/>
                <w:lang w:val="es-CO"/>
              </w:rPr>
              <w:t xml:space="preserve"> </w:t>
            </w:r>
          </w:p>
          <w:p w14:paraId="3F3184AF" w14:textId="4878F4A0" w:rsidR="00B71CAA" w:rsidRPr="00B71CAA" w:rsidRDefault="00B71CAA" w:rsidP="00B71CAA">
            <w:pPr>
              <w:pStyle w:val="TableParagraph"/>
              <w:tabs>
                <w:tab w:val="left" w:pos="584"/>
              </w:tabs>
              <w:ind w:left="476" w:right="567"/>
              <w:jc w:val="center"/>
              <w:rPr>
                <w:rFonts w:ascii="Arial Narrow" w:hAnsi="Arial Narrow"/>
                <w:color w:val="000000" w:themeColor="text1"/>
                <w:lang w:val="es-CO"/>
              </w:rPr>
            </w:pPr>
            <w:r w:rsidRPr="00B71CAA">
              <w:rPr>
                <w:rFonts w:ascii="Arial Narrow" w:hAnsi="Arial Narrow"/>
                <w:color w:val="000000" w:themeColor="text1"/>
                <w:lang w:val="es-CO"/>
              </w:rPr>
              <w:drawing>
                <wp:inline distT="0" distB="0" distL="0" distR="0" wp14:anchorId="67CB8AB8" wp14:editId="5F14B518">
                  <wp:extent cx="4981076" cy="1007110"/>
                  <wp:effectExtent l="0" t="0" r="0" b="2540"/>
                  <wp:docPr id="84368" name="Picture 84368"/>
                  <wp:cNvGraphicFramePr/>
                  <a:graphic xmlns:a="http://schemas.openxmlformats.org/drawingml/2006/main">
                    <a:graphicData uri="http://schemas.openxmlformats.org/drawingml/2006/picture">
                      <pic:pic xmlns:pic="http://schemas.openxmlformats.org/drawingml/2006/picture">
                        <pic:nvPicPr>
                          <pic:cNvPr id="84368" name="Picture 84368"/>
                          <pic:cNvPicPr/>
                        </pic:nvPicPr>
                        <pic:blipFill>
                          <a:blip r:embed="rId14"/>
                          <a:stretch>
                            <a:fillRect/>
                          </a:stretch>
                        </pic:blipFill>
                        <pic:spPr>
                          <a:xfrm>
                            <a:off x="0" y="0"/>
                            <a:ext cx="5079613" cy="1027033"/>
                          </a:xfrm>
                          <a:prstGeom prst="rect">
                            <a:avLst/>
                          </a:prstGeom>
                        </pic:spPr>
                      </pic:pic>
                    </a:graphicData>
                  </a:graphic>
                </wp:inline>
              </w:drawing>
            </w:r>
          </w:p>
          <w:p w14:paraId="69BBF847" w14:textId="634D87B2" w:rsidR="00B71CAA" w:rsidRPr="00B71CAA" w:rsidRDefault="00B71CAA" w:rsidP="00B71CAA">
            <w:pPr>
              <w:pStyle w:val="TableParagraph"/>
              <w:tabs>
                <w:tab w:val="left" w:pos="584"/>
              </w:tabs>
              <w:ind w:left="476" w:right="567"/>
              <w:jc w:val="center"/>
              <w:rPr>
                <w:rFonts w:ascii="Arial Narrow" w:hAnsi="Arial Narrow"/>
                <w:color w:val="000000" w:themeColor="text1"/>
                <w:sz w:val="14"/>
                <w:szCs w:val="14"/>
                <w:lang w:val="es-CO"/>
              </w:rPr>
            </w:pPr>
            <w:r w:rsidRPr="00B71CAA">
              <w:rPr>
                <w:rFonts w:ascii="Arial Narrow" w:hAnsi="Arial Narrow"/>
                <w:color w:val="000000" w:themeColor="text1"/>
                <w:sz w:val="14"/>
                <w:szCs w:val="14"/>
                <w:lang w:val="es-CO"/>
              </w:rPr>
              <w:t>*Información suministrada a la OAJ mediante memorando No. 20231600026903 del 2 de mayo de 2023 de la Dirección de Otros Prestadores de ADRES.</w:t>
            </w:r>
          </w:p>
          <w:p w14:paraId="6B30994D" w14:textId="77777777" w:rsidR="00B71CAA" w:rsidRPr="00B71CAA" w:rsidRDefault="00B71CAA" w:rsidP="00B71CAA">
            <w:pPr>
              <w:pStyle w:val="TableParagraph"/>
              <w:tabs>
                <w:tab w:val="left" w:pos="584"/>
              </w:tabs>
              <w:ind w:left="476" w:right="567"/>
              <w:jc w:val="both"/>
              <w:rPr>
                <w:rFonts w:ascii="Arial Narrow" w:hAnsi="Arial Narrow"/>
                <w:color w:val="000000" w:themeColor="text1"/>
                <w:lang w:val="es-CO"/>
              </w:rPr>
            </w:pPr>
            <w:r w:rsidRPr="00B71CAA">
              <w:rPr>
                <w:rFonts w:ascii="Arial Narrow" w:hAnsi="Arial Narrow"/>
                <w:color w:val="000000" w:themeColor="text1"/>
                <w:lang w:val="es-CO"/>
              </w:rPr>
              <w:t xml:space="preserve"> </w:t>
            </w:r>
          </w:p>
          <w:p w14:paraId="42761330" w14:textId="77777777" w:rsidR="00B71CAA" w:rsidRPr="00B71CAA" w:rsidRDefault="00B71CAA" w:rsidP="00B71CAA">
            <w:pPr>
              <w:pStyle w:val="TableParagraph"/>
              <w:tabs>
                <w:tab w:val="left" w:pos="584"/>
              </w:tabs>
              <w:ind w:left="476" w:right="567"/>
              <w:jc w:val="both"/>
              <w:rPr>
                <w:rFonts w:ascii="Arial Narrow" w:hAnsi="Arial Narrow"/>
                <w:color w:val="000000" w:themeColor="text1"/>
                <w:lang w:val="es-CO"/>
              </w:rPr>
            </w:pPr>
            <w:r w:rsidRPr="00B71CAA">
              <w:rPr>
                <w:rFonts w:ascii="Arial Narrow" w:hAnsi="Arial Narrow"/>
                <w:color w:val="000000" w:themeColor="text1"/>
                <w:lang w:val="es-CO"/>
              </w:rPr>
              <w:t xml:space="preserve">No obstante, y en aplicación del artículo 3 del Decreto Ley 1281 de 2002, modificado por el artículo 7 de la Ley 1949 de 2019, los valores objeto de reintegro deberán ser actualizados conforme al interés de mora DIAN o por el índice de precios al consumidor IPC, según lo resuelto en cada acto administrativo. </w:t>
            </w:r>
          </w:p>
          <w:p w14:paraId="46CAE7C9" w14:textId="77777777" w:rsidR="00B71CAA" w:rsidRPr="00B71CAA" w:rsidRDefault="00B71CAA" w:rsidP="00B71CAA">
            <w:pPr>
              <w:pStyle w:val="TableParagraph"/>
              <w:tabs>
                <w:tab w:val="left" w:pos="584"/>
              </w:tabs>
              <w:ind w:left="476" w:right="567"/>
              <w:jc w:val="both"/>
              <w:rPr>
                <w:rFonts w:ascii="Arial Narrow" w:hAnsi="Arial Narrow"/>
                <w:color w:val="000000" w:themeColor="text1"/>
                <w:lang w:val="es-CO"/>
              </w:rPr>
            </w:pPr>
            <w:r w:rsidRPr="00B71CAA">
              <w:rPr>
                <w:rFonts w:ascii="Arial Narrow" w:hAnsi="Arial Narrow"/>
                <w:color w:val="000000" w:themeColor="text1"/>
                <w:lang w:val="es-CO"/>
              </w:rPr>
              <w:t xml:space="preserve"> </w:t>
            </w:r>
          </w:p>
          <w:p w14:paraId="712AF191" w14:textId="59E2AF1E" w:rsidR="00B71CAA" w:rsidRDefault="00B71CAA" w:rsidP="00B71CAA">
            <w:pPr>
              <w:pStyle w:val="TableParagraph"/>
              <w:tabs>
                <w:tab w:val="left" w:pos="584"/>
              </w:tabs>
              <w:ind w:left="476" w:right="567"/>
              <w:jc w:val="both"/>
              <w:rPr>
                <w:rFonts w:ascii="Arial Narrow" w:hAnsi="Arial Narrow"/>
                <w:color w:val="000000" w:themeColor="text1"/>
                <w:lang w:val="es-CO"/>
              </w:rPr>
            </w:pPr>
            <w:r w:rsidRPr="00B71CAA">
              <w:rPr>
                <w:rFonts w:ascii="Arial Narrow" w:hAnsi="Arial Narrow"/>
                <w:color w:val="000000" w:themeColor="text1"/>
                <w:lang w:val="es-CO"/>
              </w:rPr>
              <w:lastRenderedPageBreak/>
              <w:t xml:space="preserve">De otra parte, y en cumplimiento al deber de protección de los recursos pertenecientes al Sistema General de Seguridad Social en Salud, señalado en el artículo 15 del Decreto Ley 1281 de 2002 y artículo 2.6.4.7.1 del Decreto 780 de 2016, artículo 3 del Decreto Ley 1281 de 2002 modificado por el artículo 7 de la Ley 1949 del 2019, la Dirección de Otras Prestaciones verificó los recobros reconocidos a COOMEVA EPS </w:t>
            </w:r>
            <w:r w:rsidR="0023730F">
              <w:rPr>
                <w:rFonts w:ascii="Arial Narrow" w:hAnsi="Arial Narrow"/>
                <w:color w:val="000000" w:themeColor="text1"/>
                <w:lang w:val="es-CO"/>
              </w:rPr>
              <w:t xml:space="preserve">LIQUIDADA </w:t>
            </w:r>
            <w:r w:rsidRPr="00B71CAA">
              <w:rPr>
                <w:rFonts w:ascii="Arial Narrow" w:hAnsi="Arial Narrow"/>
                <w:color w:val="000000" w:themeColor="text1"/>
                <w:lang w:val="es-CO"/>
              </w:rPr>
              <w:t xml:space="preserve">e inició los siguientes procesos de reintegro: </w:t>
            </w:r>
          </w:p>
          <w:p w14:paraId="178248EE" w14:textId="38744325" w:rsidR="00B71CAA" w:rsidRPr="00B71CAA" w:rsidRDefault="00B71CAA" w:rsidP="00FA2AB2">
            <w:pPr>
              <w:pStyle w:val="TableParagraph"/>
              <w:tabs>
                <w:tab w:val="left" w:pos="584"/>
              </w:tabs>
              <w:ind w:right="567"/>
              <w:jc w:val="both"/>
              <w:rPr>
                <w:rFonts w:ascii="Arial Narrow" w:hAnsi="Arial Narrow"/>
                <w:color w:val="000000" w:themeColor="text1"/>
                <w:lang w:val="es-CO"/>
              </w:rPr>
            </w:pPr>
          </w:p>
          <w:p w14:paraId="7C3492AC" w14:textId="305BB53F" w:rsidR="00B71CAA" w:rsidRPr="00B71CAA" w:rsidRDefault="00B71CAA" w:rsidP="00B71CAA">
            <w:pPr>
              <w:pStyle w:val="TableParagraph"/>
              <w:tabs>
                <w:tab w:val="left" w:pos="584"/>
              </w:tabs>
              <w:ind w:left="476" w:right="567"/>
              <w:jc w:val="center"/>
              <w:rPr>
                <w:rFonts w:ascii="Arial Narrow" w:hAnsi="Arial Narrow"/>
                <w:color w:val="000000" w:themeColor="text1"/>
                <w:lang w:val="es-CO"/>
              </w:rPr>
            </w:pPr>
            <w:r w:rsidRPr="00B71CAA">
              <w:rPr>
                <w:rFonts w:ascii="Arial Narrow" w:hAnsi="Arial Narrow"/>
                <w:color w:val="000000" w:themeColor="text1"/>
                <w:lang w:val="es-CO"/>
              </w:rPr>
              <w:drawing>
                <wp:inline distT="0" distB="0" distL="0" distR="0" wp14:anchorId="377AA89A" wp14:editId="7D4006FE">
                  <wp:extent cx="5588000" cy="1151466"/>
                  <wp:effectExtent l="0" t="0" r="0" b="0"/>
                  <wp:docPr id="84369" name="Picture 84369"/>
                  <wp:cNvGraphicFramePr/>
                  <a:graphic xmlns:a="http://schemas.openxmlformats.org/drawingml/2006/main">
                    <a:graphicData uri="http://schemas.openxmlformats.org/drawingml/2006/picture">
                      <pic:pic xmlns:pic="http://schemas.openxmlformats.org/drawingml/2006/picture">
                        <pic:nvPicPr>
                          <pic:cNvPr id="84369" name="Picture 84369"/>
                          <pic:cNvPicPr/>
                        </pic:nvPicPr>
                        <pic:blipFill>
                          <a:blip r:embed="rId15"/>
                          <a:stretch>
                            <a:fillRect/>
                          </a:stretch>
                        </pic:blipFill>
                        <pic:spPr>
                          <a:xfrm>
                            <a:off x="0" y="0"/>
                            <a:ext cx="5641902" cy="1162573"/>
                          </a:xfrm>
                          <a:prstGeom prst="rect">
                            <a:avLst/>
                          </a:prstGeom>
                        </pic:spPr>
                      </pic:pic>
                    </a:graphicData>
                  </a:graphic>
                </wp:inline>
              </w:drawing>
            </w:r>
          </w:p>
          <w:p w14:paraId="07EBC3E1" w14:textId="58D69675" w:rsidR="00B71CAA" w:rsidRPr="00B71CAA" w:rsidRDefault="00B71CAA" w:rsidP="00B71CAA">
            <w:pPr>
              <w:pStyle w:val="TableParagraph"/>
              <w:tabs>
                <w:tab w:val="left" w:pos="584"/>
              </w:tabs>
              <w:ind w:left="476" w:right="567"/>
              <w:jc w:val="center"/>
              <w:rPr>
                <w:rFonts w:ascii="Arial Narrow" w:hAnsi="Arial Narrow"/>
                <w:color w:val="000000" w:themeColor="text1"/>
                <w:sz w:val="14"/>
                <w:szCs w:val="14"/>
                <w:lang w:val="es-CO"/>
              </w:rPr>
            </w:pPr>
            <w:r w:rsidRPr="00B71CAA">
              <w:rPr>
                <w:rFonts w:ascii="Arial Narrow" w:hAnsi="Arial Narrow"/>
                <w:color w:val="000000" w:themeColor="text1"/>
                <w:sz w:val="14"/>
                <w:szCs w:val="14"/>
                <w:lang w:val="es-CO"/>
              </w:rPr>
              <w:t>*Información suministrada a la OAJ mediante memorando No. 20231600026903 del 2 de mayo de 2023 de la Dirección de Otros Prestadores de ADRES.</w:t>
            </w:r>
          </w:p>
          <w:p w14:paraId="7AC637B9" w14:textId="77777777" w:rsidR="00B71CAA" w:rsidRPr="00B71CAA" w:rsidRDefault="00B71CAA" w:rsidP="00B71CAA">
            <w:pPr>
              <w:pStyle w:val="TableParagraph"/>
              <w:tabs>
                <w:tab w:val="left" w:pos="584"/>
              </w:tabs>
              <w:ind w:left="476" w:right="567"/>
              <w:jc w:val="both"/>
              <w:rPr>
                <w:rFonts w:ascii="Arial Narrow" w:hAnsi="Arial Narrow"/>
                <w:color w:val="000000" w:themeColor="text1"/>
                <w:lang w:val="es-CO"/>
              </w:rPr>
            </w:pPr>
            <w:r w:rsidRPr="00B71CAA">
              <w:rPr>
                <w:rFonts w:ascii="Arial Narrow" w:hAnsi="Arial Narrow"/>
                <w:color w:val="000000" w:themeColor="text1"/>
                <w:lang w:val="es-CO"/>
              </w:rPr>
              <w:t xml:space="preserve"> </w:t>
            </w:r>
          </w:p>
          <w:p w14:paraId="023EB2E4" w14:textId="77777777" w:rsidR="00AF3CBF" w:rsidRDefault="00B71CAA" w:rsidP="00AF3CBF">
            <w:pPr>
              <w:pStyle w:val="TableParagraph"/>
              <w:tabs>
                <w:tab w:val="left" w:pos="584"/>
              </w:tabs>
              <w:ind w:left="476" w:right="567"/>
              <w:jc w:val="both"/>
              <w:rPr>
                <w:rFonts w:ascii="Arial Narrow" w:hAnsi="Arial Narrow"/>
                <w:color w:val="000000" w:themeColor="text1"/>
                <w:lang w:val="es-CO"/>
              </w:rPr>
            </w:pPr>
            <w:r w:rsidRPr="00B71CAA">
              <w:rPr>
                <w:rFonts w:ascii="Arial Narrow" w:hAnsi="Arial Narrow"/>
                <w:color w:val="000000" w:themeColor="text1"/>
                <w:lang w:val="es-CO"/>
              </w:rPr>
              <w:t xml:space="preserve"> De acuerdo con lo anterior, y en aplicación del artículo 3 del Decreto Ley 1281 de 2002, modificado por el artículo 7 de la Ley 1949 de 2019, los valores objeto de reintegro deberán ser actualizados conforme al interés de mora DIAN o por el índice de precios al consumidor IPC, según lo resuelto en cada acto administrativo. </w:t>
            </w:r>
          </w:p>
          <w:p w14:paraId="488F02D7" w14:textId="77777777" w:rsidR="00AF3CBF" w:rsidRDefault="00AF3CBF" w:rsidP="00AF3CBF">
            <w:pPr>
              <w:pStyle w:val="TableParagraph"/>
              <w:tabs>
                <w:tab w:val="left" w:pos="584"/>
              </w:tabs>
              <w:ind w:left="476" w:right="567"/>
              <w:jc w:val="both"/>
              <w:rPr>
                <w:rFonts w:ascii="Arial Narrow" w:hAnsi="Arial Narrow"/>
                <w:color w:val="000000" w:themeColor="text1"/>
                <w:lang w:val="es-CO"/>
              </w:rPr>
            </w:pPr>
          </w:p>
          <w:p w14:paraId="0372E996" w14:textId="4E5B6DF7" w:rsidR="00B71CAA" w:rsidRPr="00AF3CBF" w:rsidRDefault="00B71CAA" w:rsidP="00AF3CBF">
            <w:pPr>
              <w:pStyle w:val="TableParagraph"/>
              <w:numPr>
                <w:ilvl w:val="0"/>
                <w:numId w:val="21"/>
              </w:numPr>
              <w:tabs>
                <w:tab w:val="left" w:pos="584"/>
              </w:tabs>
              <w:ind w:right="567"/>
              <w:jc w:val="both"/>
              <w:rPr>
                <w:rFonts w:ascii="Arial Narrow" w:hAnsi="Arial Narrow"/>
                <w:color w:val="000000" w:themeColor="text1"/>
                <w:lang w:val="es-CO"/>
              </w:rPr>
            </w:pPr>
            <w:r w:rsidRPr="00B71CAA">
              <w:rPr>
                <w:rFonts w:ascii="Arial Narrow" w:hAnsi="Arial Narrow"/>
                <w:b/>
                <w:bCs/>
                <w:color w:val="000000" w:themeColor="text1"/>
              </w:rPr>
              <w:t xml:space="preserve">Recobros pendientes de Legalizar (Recobros Inmersos en Procesos Judiciales). </w:t>
            </w:r>
          </w:p>
          <w:p w14:paraId="6A77D1B1" w14:textId="77777777" w:rsidR="00B71CAA" w:rsidRPr="00B71CAA" w:rsidRDefault="00B71CAA" w:rsidP="00B71CAA">
            <w:pPr>
              <w:pStyle w:val="TableParagraph"/>
              <w:tabs>
                <w:tab w:val="left" w:pos="584"/>
              </w:tabs>
              <w:ind w:left="476" w:right="567"/>
              <w:jc w:val="both"/>
              <w:rPr>
                <w:rFonts w:ascii="Arial Narrow" w:hAnsi="Arial Narrow"/>
                <w:b/>
                <w:bCs/>
                <w:color w:val="000000" w:themeColor="text1"/>
              </w:rPr>
            </w:pPr>
            <w:r w:rsidRPr="00B71CAA">
              <w:rPr>
                <w:rFonts w:ascii="Arial Narrow" w:hAnsi="Arial Narrow"/>
                <w:b/>
                <w:bCs/>
                <w:color w:val="000000" w:themeColor="text1"/>
              </w:rPr>
              <w:t xml:space="preserve"> </w:t>
            </w:r>
          </w:p>
          <w:p w14:paraId="7AFDF330" w14:textId="4CFE7481" w:rsidR="00B71CAA" w:rsidRDefault="00FA2AB2" w:rsidP="00B71CAA">
            <w:pPr>
              <w:pStyle w:val="TableParagraph"/>
              <w:tabs>
                <w:tab w:val="left" w:pos="584"/>
              </w:tabs>
              <w:ind w:left="476" w:right="567"/>
              <w:jc w:val="both"/>
              <w:rPr>
                <w:rFonts w:ascii="Arial Narrow" w:hAnsi="Arial Narrow"/>
                <w:color w:val="000000" w:themeColor="text1"/>
              </w:rPr>
            </w:pPr>
            <w:r w:rsidRPr="00FA2AB2">
              <w:rPr>
                <w:rFonts w:ascii="Arial Narrow" w:hAnsi="Arial Narrow"/>
                <w:color w:val="000000" w:themeColor="text1"/>
              </w:rPr>
              <w:t>L</w:t>
            </w:r>
            <w:r w:rsidR="00B71CAA" w:rsidRPr="00FA2AB2">
              <w:rPr>
                <w:rFonts w:ascii="Arial Narrow" w:hAnsi="Arial Narrow"/>
                <w:color w:val="000000" w:themeColor="text1"/>
              </w:rPr>
              <w:t xml:space="preserve">a Administradora de los Recursos del Sistema General de Seguridad Social en Salud – ADRES realizó el giro de los recursos autorizados en el proceso administrativo de Glosa Transversal, así las cosas, la EPS tendría pendiente por legalizar los siguientes valores: </w:t>
            </w:r>
          </w:p>
          <w:p w14:paraId="1F39118B" w14:textId="77777777" w:rsidR="00FA2AB2" w:rsidRDefault="00FA2AB2" w:rsidP="00B71CAA">
            <w:pPr>
              <w:pStyle w:val="TableParagraph"/>
              <w:tabs>
                <w:tab w:val="left" w:pos="584"/>
              </w:tabs>
              <w:ind w:left="476" w:right="567"/>
              <w:jc w:val="both"/>
              <w:rPr>
                <w:rFonts w:ascii="Arial Narrow" w:hAnsi="Arial Narrow"/>
                <w:color w:val="000000" w:themeColor="text1"/>
              </w:rPr>
            </w:pPr>
          </w:p>
          <w:p w14:paraId="62889DA6" w14:textId="47154366" w:rsidR="00B71CAA" w:rsidRPr="00FA2AB2" w:rsidRDefault="00FA2AB2" w:rsidP="00FA2AB2">
            <w:pPr>
              <w:pStyle w:val="TableParagraph"/>
              <w:tabs>
                <w:tab w:val="left" w:pos="584"/>
              </w:tabs>
              <w:ind w:left="476" w:right="567"/>
              <w:jc w:val="center"/>
              <w:rPr>
                <w:rFonts w:ascii="Arial Narrow" w:hAnsi="Arial Narrow"/>
                <w:color w:val="000000" w:themeColor="text1"/>
              </w:rPr>
            </w:pPr>
            <w:r w:rsidRPr="00FA2AB2">
              <w:rPr>
                <w:rFonts w:ascii="Arial Narrow" w:hAnsi="Arial Narrow"/>
                <w:color w:val="000000" w:themeColor="text1"/>
              </w:rPr>
              <w:drawing>
                <wp:inline distT="0" distB="0" distL="0" distR="0" wp14:anchorId="1E8D16CE" wp14:editId="75A314D1">
                  <wp:extent cx="5702300" cy="3259394"/>
                  <wp:effectExtent l="0" t="0" r="0" b="0"/>
                  <wp:docPr id="8913643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364362" name=""/>
                          <pic:cNvPicPr/>
                        </pic:nvPicPr>
                        <pic:blipFill rotWithShape="1">
                          <a:blip r:embed="rId16"/>
                          <a:srcRect t="4487"/>
                          <a:stretch/>
                        </pic:blipFill>
                        <pic:spPr bwMode="auto">
                          <a:xfrm>
                            <a:off x="0" y="0"/>
                            <a:ext cx="5776126" cy="3301592"/>
                          </a:xfrm>
                          <a:prstGeom prst="rect">
                            <a:avLst/>
                          </a:prstGeom>
                          <a:ln>
                            <a:noFill/>
                          </a:ln>
                          <a:extLst>
                            <a:ext uri="{53640926-AAD7-44D8-BBD7-CCE9431645EC}">
                              <a14:shadowObscured xmlns:a14="http://schemas.microsoft.com/office/drawing/2010/main"/>
                            </a:ext>
                          </a:extLst>
                        </pic:spPr>
                      </pic:pic>
                    </a:graphicData>
                  </a:graphic>
                </wp:inline>
              </w:drawing>
            </w:r>
          </w:p>
          <w:p w14:paraId="07ED53B7" w14:textId="77777777" w:rsidR="00FA2AB2" w:rsidRDefault="00FA2AB2" w:rsidP="00FA2AB2">
            <w:pPr>
              <w:pStyle w:val="TableParagraph"/>
              <w:tabs>
                <w:tab w:val="left" w:pos="584"/>
              </w:tabs>
              <w:ind w:left="1240" w:right="567"/>
              <w:jc w:val="both"/>
              <w:rPr>
                <w:rFonts w:ascii="Arial Narrow" w:hAnsi="Arial Narrow"/>
                <w:b/>
                <w:bCs/>
                <w:color w:val="000000" w:themeColor="text1"/>
              </w:rPr>
            </w:pPr>
          </w:p>
          <w:p w14:paraId="2E14E2EA" w14:textId="14226E47" w:rsidR="00B71CAA" w:rsidRPr="00B71CAA" w:rsidRDefault="00B71CAA" w:rsidP="00FA2AB2">
            <w:pPr>
              <w:pStyle w:val="TableParagraph"/>
              <w:numPr>
                <w:ilvl w:val="0"/>
                <w:numId w:val="21"/>
              </w:numPr>
              <w:tabs>
                <w:tab w:val="left" w:pos="584"/>
              </w:tabs>
              <w:ind w:right="567"/>
              <w:jc w:val="both"/>
              <w:rPr>
                <w:rFonts w:ascii="Arial Narrow" w:hAnsi="Arial Narrow"/>
                <w:b/>
                <w:bCs/>
                <w:color w:val="000000" w:themeColor="text1"/>
              </w:rPr>
            </w:pPr>
            <w:r w:rsidRPr="00B71CAA">
              <w:rPr>
                <w:rFonts w:ascii="Arial Narrow" w:hAnsi="Arial Narrow"/>
                <w:b/>
                <w:bCs/>
                <w:color w:val="000000" w:themeColor="text1"/>
              </w:rPr>
              <w:t xml:space="preserve">Valores correspondientes a giro previo. </w:t>
            </w:r>
          </w:p>
          <w:p w14:paraId="7251FD47" w14:textId="77777777" w:rsidR="00B71CAA" w:rsidRPr="00FA2AB2" w:rsidRDefault="00B71CAA" w:rsidP="00B71CAA">
            <w:pPr>
              <w:pStyle w:val="TableParagraph"/>
              <w:tabs>
                <w:tab w:val="left" w:pos="584"/>
              </w:tabs>
              <w:ind w:left="476" w:right="567"/>
              <w:jc w:val="both"/>
              <w:rPr>
                <w:rFonts w:ascii="Arial Narrow" w:hAnsi="Arial Narrow"/>
                <w:color w:val="000000" w:themeColor="text1"/>
              </w:rPr>
            </w:pPr>
            <w:r w:rsidRPr="00FA2AB2">
              <w:rPr>
                <w:rFonts w:ascii="Arial Narrow" w:hAnsi="Arial Narrow"/>
                <w:color w:val="000000" w:themeColor="text1"/>
              </w:rPr>
              <w:t xml:space="preserve"> </w:t>
            </w:r>
          </w:p>
          <w:p w14:paraId="464BB88E" w14:textId="3BCFAEDA" w:rsidR="00B71CAA" w:rsidRPr="00FA2AB2" w:rsidRDefault="00FA2AB2" w:rsidP="00B71CAA">
            <w:pPr>
              <w:pStyle w:val="TableParagraph"/>
              <w:tabs>
                <w:tab w:val="left" w:pos="584"/>
              </w:tabs>
              <w:ind w:left="476" w:right="567"/>
              <w:jc w:val="both"/>
              <w:rPr>
                <w:rFonts w:ascii="Arial Narrow" w:hAnsi="Arial Narrow"/>
                <w:color w:val="000000" w:themeColor="text1"/>
              </w:rPr>
            </w:pPr>
            <w:r w:rsidRPr="00FA2AB2">
              <w:rPr>
                <w:rFonts w:ascii="Arial Narrow" w:hAnsi="Arial Narrow"/>
                <w:color w:val="000000" w:themeColor="text1"/>
              </w:rPr>
              <w:t>C</w:t>
            </w:r>
            <w:r w:rsidR="00B71CAA" w:rsidRPr="00FA2AB2">
              <w:rPr>
                <w:rFonts w:ascii="Arial Narrow" w:hAnsi="Arial Narrow"/>
                <w:color w:val="000000" w:themeColor="text1"/>
              </w:rPr>
              <w:t>uando el monto reconocido por concepto de giro previo super</w:t>
            </w:r>
            <w:r w:rsidRPr="00FA2AB2">
              <w:rPr>
                <w:rFonts w:ascii="Arial Narrow" w:hAnsi="Arial Narrow"/>
                <w:color w:val="000000" w:themeColor="text1"/>
              </w:rPr>
              <w:t xml:space="preserve">a </w:t>
            </w:r>
            <w:r w:rsidR="00B71CAA" w:rsidRPr="00FA2AB2">
              <w:rPr>
                <w:rFonts w:ascii="Arial Narrow" w:hAnsi="Arial Narrow"/>
                <w:color w:val="000000" w:themeColor="text1"/>
              </w:rPr>
              <w:t xml:space="preserve">el valor aprobado en auditoria integral, deberá la EPS reintegrar el valor adicional reconocido. En ese orden de ideas, COOMEVA EPS </w:t>
            </w:r>
            <w:r>
              <w:rPr>
                <w:rFonts w:ascii="Arial Narrow" w:hAnsi="Arial Narrow"/>
                <w:color w:val="000000" w:themeColor="text1"/>
              </w:rPr>
              <w:t>LIQUIDADA</w:t>
            </w:r>
            <w:r w:rsidR="00B71CAA" w:rsidRPr="00FA2AB2">
              <w:rPr>
                <w:rFonts w:ascii="Arial Narrow" w:hAnsi="Arial Narrow"/>
                <w:color w:val="000000" w:themeColor="text1"/>
              </w:rPr>
              <w:t xml:space="preserve"> t</w:t>
            </w:r>
            <w:r>
              <w:rPr>
                <w:rFonts w:ascii="Arial Narrow" w:hAnsi="Arial Narrow"/>
                <w:color w:val="000000" w:themeColor="text1"/>
              </w:rPr>
              <w:t>endría</w:t>
            </w:r>
            <w:r w:rsidR="00B71CAA" w:rsidRPr="00FA2AB2">
              <w:rPr>
                <w:rFonts w:ascii="Arial Narrow" w:hAnsi="Arial Narrow"/>
                <w:color w:val="000000" w:themeColor="text1"/>
              </w:rPr>
              <w:t xml:space="preserve"> pendiente por legalizar los siguientes valores: </w:t>
            </w:r>
          </w:p>
          <w:p w14:paraId="61F3F035" w14:textId="62200C7D" w:rsidR="00B71CAA" w:rsidRDefault="00B71CAA" w:rsidP="00B71CAA">
            <w:pPr>
              <w:pStyle w:val="TableParagraph"/>
              <w:tabs>
                <w:tab w:val="left" w:pos="584"/>
              </w:tabs>
              <w:ind w:left="476" w:right="567"/>
              <w:jc w:val="both"/>
              <w:rPr>
                <w:rFonts w:ascii="Arial Narrow" w:hAnsi="Arial Narrow"/>
                <w:b/>
                <w:bCs/>
                <w:color w:val="000000" w:themeColor="text1"/>
              </w:rPr>
            </w:pPr>
          </w:p>
          <w:p w14:paraId="518449F3" w14:textId="60D41974" w:rsidR="00FA2AB2" w:rsidRPr="00B71CAA" w:rsidRDefault="00FA2AB2" w:rsidP="00FA2AB2">
            <w:pPr>
              <w:pStyle w:val="TableParagraph"/>
              <w:tabs>
                <w:tab w:val="left" w:pos="584"/>
              </w:tabs>
              <w:ind w:left="476" w:right="567"/>
              <w:jc w:val="center"/>
              <w:rPr>
                <w:rFonts w:ascii="Arial Narrow" w:hAnsi="Arial Narrow"/>
                <w:b/>
                <w:bCs/>
                <w:color w:val="000000" w:themeColor="text1"/>
              </w:rPr>
            </w:pPr>
            <w:r w:rsidRPr="00FA2AB2">
              <w:rPr>
                <w:rFonts w:ascii="Arial Narrow" w:hAnsi="Arial Narrow"/>
                <w:b/>
                <w:bCs/>
                <w:color w:val="000000" w:themeColor="text1"/>
              </w:rPr>
              <w:lastRenderedPageBreak/>
              <w:drawing>
                <wp:inline distT="0" distB="0" distL="0" distR="0" wp14:anchorId="43E16596" wp14:editId="2E6168CB">
                  <wp:extent cx="5819207" cy="3335655"/>
                  <wp:effectExtent l="0" t="0" r="0" b="0"/>
                  <wp:docPr id="137248030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2480305" name=""/>
                          <pic:cNvPicPr/>
                        </pic:nvPicPr>
                        <pic:blipFill rotWithShape="1">
                          <a:blip r:embed="rId17"/>
                          <a:srcRect l="3141" t="3809" r="1539" b="2828"/>
                          <a:stretch/>
                        </pic:blipFill>
                        <pic:spPr bwMode="auto">
                          <a:xfrm>
                            <a:off x="0" y="0"/>
                            <a:ext cx="5855384" cy="3356392"/>
                          </a:xfrm>
                          <a:prstGeom prst="rect">
                            <a:avLst/>
                          </a:prstGeom>
                          <a:ln>
                            <a:noFill/>
                          </a:ln>
                          <a:extLst>
                            <a:ext uri="{53640926-AAD7-44D8-BBD7-CCE9431645EC}">
                              <a14:shadowObscured xmlns:a14="http://schemas.microsoft.com/office/drawing/2010/main"/>
                            </a:ext>
                          </a:extLst>
                        </pic:spPr>
                      </pic:pic>
                    </a:graphicData>
                  </a:graphic>
                </wp:inline>
              </w:drawing>
            </w:r>
          </w:p>
          <w:p w14:paraId="318C1005" w14:textId="1595D75B" w:rsidR="009F1834" w:rsidRPr="00FA2AB2" w:rsidRDefault="00B71CAA" w:rsidP="00FA2AB2">
            <w:pPr>
              <w:pStyle w:val="TableParagraph"/>
              <w:tabs>
                <w:tab w:val="left" w:pos="584"/>
              </w:tabs>
              <w:ind w:left="476" w:right="567"/>
              <w:jc w:val="both"/>
              <w:rPr>
                <w:rFonts w:ascii="Arial Narrow" w:hAnsi="Arial Narrow"/>
                <w:b/>
                <w:bCs/>
                <w:color w:val="000000" w:themeColor="text1"/>
              </w:rPr>
            </w:pPr>
            <w:r w:rsidRPr="00B71CAA">
              <w:rPr>
                <w:rFonts w:ascii="Arial Narrow" w:hAnsi="Arial Narrow"/>
                <w:b/>
                <w:bCs/>
                <w:color w:val="000000" w:themeColor="text1"/>
              </w:rPr>
              <w:t xml:space="preserve">  </w:t>
            </w:r>
          </w:p>
          <w:p w14:paraId="6674CBE3" w14:textId="32FC1571" w:rsidR="00B45B59" w:rsidRDefault="004E3939" w:rsidP="00FC4C71">
            <w:pPr>
              <w:ind w:left="476" w:right="567"/>
              <w:rPr>
                <w:rFonts w:ascii="Arial Narrow" w:hAnsi="Arial Narrow"/>
                <w:b/>
                <w:color w:val="000000" w:themeColor="text1"/>
                <w:lang w:val="es-CO"/>
              </w:rPr>
            </w:pPr>
            <w:r>
              <w:rPr>
                <w:rFonts w:ascii="Arial Narrow" w:hAnsi="Arial Narrow"/>
                <w:b/>
                <w:color w:val="000000" w:themeColor="text1"/>
                <w:lang w:val="es-CO"/>
              </w:rPr>
              <w:t>7.</w:t>
            </w:r>
            <w:r w:rsidR="00FA2AB2">
              <w:rPr>
                <w:rFonts w:ascii="Arial Narrow" w:hAnsi="Arial Narrow"/>
                <w:b/>
                <w:color w:val="000000" w:themeColor="text1"/>
                <w:lang w:val="es-CO"/>
              </w:rPr>
              <w:t>2</w:t>
            </w:r>
            <w:r w:rsidR="00B45B59" w:rsidRPr="007F2B6C">
              <w:rPr>
                <w:rFonts w:ascii="Arial Narrow" w:hAnsi="Arial Narrow"/>
                <w:b/>
                <w:color w:val="000000" w:themeColor="text1"/>
                <w:lang w:val="es-CO"/>
              </w:rPr>
              <w:t xml:space="preserve">. </w:t>
            </w:r>
            <w:r w:rsidR="00BA2267" w:rsidRPr="007F2B6C">
              <w:rPr>
                <w:rFonts w:ascii="Arial Narrow" w:hAnsi="Arial Narrow"/>
                <w:b/>
                <w:color w:val="000000" w:themeColor="text1"/>
                <w:lang w:val="es-CO"/>
              </w:rPr>
              <w:t>Normativa aplicable</w:t>
            </w:r>
            <w:r w:rsidR="00AA646B">
              <w:rPr>
                <w:rFonts w:ascii="Arial Narrow" w:hAnsi="Arial Narrow"/>
                <w:b/>
                <w:color w:val="000000" w:themeColor="text1"/>
                <w:lang w:val="es-CO"/>
              </w:rPr>
              <w:t xml:space="preserve"> y fundamentos de derecho de la demanda.</w:t>
            </w:r>
          </w:p>
          <w:p w14:paraId="581D458D" w14:textId="76021D98" w:rsidR="00AA646B" w:rsidRDefault="00AA646B" w:rsidP="00FC4C71">
            <w:pPr>
              <w:ind w:left="476" w:right="567"/>
              <w:rPr>
                <w:rFonts w:ascii="Arial Narrow" w:hAnsi="Arial Narrow"/>
                <w:b/>
                <w:color w:val="000000" w:themeColor="text1"/>
                <w:lang w:val="es-CO"/>
              </w:rPr>
            </w:pPr>
          </w:p>
          <w:p w14:paraId="5F1AD5A1" w14:textId="77777777" w:rsidR="004E3939" w:rsidRPr="004E3939" w:rsidRDefault="004E3939" w:rsidP="004E3939">
            <w:pPr>
              <w:ind w:left="476" w:right="567"/>
              <w:jc w:val="both"/>
              <w:rPr>
                <w:rFonts w:ascii="Arial Narrow" w:hAnsi="Arial Narrow"/>
                <w:b/>
                <w:color w:val="000000" w:themeColor="text1"/>
              </w:rPr>
            </w:pPr>
            <w:r w:rsidRPr="004E3939">
              <w:rPr>
                <w:rFonts w:ascii="Arial Narrow" w:hAnsi="Arial Narrow"/>
                <w:b/>
                <w:color w:val="000000" w:themeColor="text1"/>
              </w:rPr>
              <w:t xml:space="preserve">NATURALEZA JURIDICA DE LOS RECURSOS DEL SGSSS QUE SOPORTA LAS PRETENSIONES DE LA DEMANDA Y LOS PROCESOS LIQUIDATORIOS DE LAS ENTIDADES PROMOTORAS DE SALUD.  </w:t>
            </w:r>
          </w:p>
          <w:p w14:paraId="23826FEF" w14:textId="77777777" w:rsidR="004E3939" w:rsidRPr="004E3939" w:rsidRDefault="004E3939" w:rsidP="004E3939">
            <w:pPr>
              <w:ind w:left="476" w:right="567"/>
              <w:jc w:val="both"/>
              <w:rPr>
                <w:rFonts w:ascii="Arial Narrow" w:hAnsi="Arial Narrow"/>
                <w:b/>
                <w:color w:val="000000" w:themeColor="text1"/>
              </w:rPr>
            </w:pPr>
            <w:r w:rsidRPr="004E3939">
              <w:rPr>
                <w:rFonts w:ascii="Arial Narrow" w:hAnsi="Arial Narrow"/>
                <w:b/>
                <w:color w:val="000000" w:themeColor="text1"/>
              </w:rPr>
              <w:t xml:space="preserve"> </w:t>
            </w:r>
          </w:p>
          <w:p w14:paraId="5E0CF39F" w14:textId="68E0F4E4"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Los conceptos adeudados por </w:t>
            </w:r>
            <w:r>
              <w:rPr>
                <w:rFonts w:ascii="Arial Narrow" w:hAnsi="Arial Narrow"/>
                <w:bCs/>
                <w:color w:val="000000" w:themeColor="text1"/>
              </w:rPr>
              <w:t xml:space="preserve">COOMEVA EPS </w:t>
            </w:r>
            <w:proofErr w:type="gramStart"/>
            <w:r>
              <w:rPr>
                <w:rFonts w:ascii="Arial Narrow" w:hAnsi="Arial Narrow"/>
                <w:bCs/>
                <w:color w:val="000000" w:themeColor="text1"/>
              </w:rPr>
              <w:t>LIQUIDADA</w:t>
            </w:r>
            <w:r w:rsidRPr="004E3939">
              <w:rPr>
                <w:rFonts w:ascii="Arial Narrow" w:hAnsi="Arial Narrow"/>
                <w:bCs/>
                <w:color w:val="000000" w:themeColor="text1"/>
              </w:rPr>
              <w:t>,</w:t>
            </w:r>
            <w:proofErr w:type="gramEnd"/>
            <w:r w:rsidRPr="004E3939">
              <w:rPr>
                <w:rFonts w:ascii="Arial Narrow" w:hAnsi="Arial Narrow"/>
                <w:bCs/>
                <w:color w:val="000000" w:themeColor="text1"/>
              </w:rPr>
              <w:t xml:space="preserve"> pertenecen al Sistema de Seguridad Social en Salud, que por disposición Constitucional se les ha otorgado especial protección, al tener destinación específica, razón por la cual no pueden ser utilizados para fines diferentes, tal y como lo señala el artículo 48 de la Constitución Política y el artículo 9 de la Ley 100 de 1993. </w:t>
            </w:r>
          </w:p>
          <w:p w14:paraId="31EB05C3"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 </w:t>
            </w:r>
          </w:p>
          <w:p w14:paraId="2048CC01"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El artículo 25 de la Ley 1751 de 2015 precisó que “Los recursos públicos que financian la salud son inembargables, tienen destinación específica y no podrán ser dirigidos a fines diferentes a los previstos constitucional y legalmente”; Así mismo, el artículo 2.6.4.1.5. del Decreto 780 de </w:t>
            </w:r>
            <w:proofErr w:type="gramStart"/>
            <w:r w:rsidRPr="004E3939">
              <w:rPr>
                <w:rFonts w:ascii="Arial Narrow" w:hAnsi="Arial Narrow"/>
                <w:bCs/>
                <w:color w:val="000000" w:themeColor="text1"/>
              </w:rPr>
              <w:t>2016  señala</w:t>
            </w:r>
            <w:proofErr w:type="gramEnd"/>
            <w:r w:rsidRPr="004E3939">
              <w:rPr>
                <w:rFonts w:ascii="Arial Narrow" w:hAnsi="Arial Narrow"/>
                <w:bCs/>
                <w:color w:val="000000" w:themeColor="text1"/>
              </w:rPr>
              <w:t xml:space="preserve"> que “(…) Los recursos de la seguridad social en salud son de naturaleza fiscal y parafiscal (…).”  </w:t>
            </w:r>
          </w:p>
          <w:p w14:paraId="23C704C0"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 </w:t>
            </w:r>
          </w:p>
          <w:p w14:paraId="250E110B"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Respecto a la parafiscalidad de los recursos del Sistema General de Seguridad Social en Salud, en sentencia C-1040 de 2003 la Honorable Corte Constitucional, destacó:  </w:t>
            </w:r>
          </w:p>
          <w:p w14:paraId="27B09DED" w14:textId="77777777" w:rsidR="004E3939" w:rsidRPr="004E3939" w:rsidRDefault="004E3939" w:rsidP="004E3939">
            <w:pPr>
              <w:ind w:left="1014" w:right="567"/>
              <w:jc w:val="both"/>
              <w:rPr>
                <w:rFonts w:ascii="Arial Narrow" w:hAnsi="Arial Narrow"/>
                <w:bCs/>
                <w:i/>
                <w:iCs/>
                <w:color w:val="000000" w:themeColor="text1"/>
                <w:sz w:val="20"/>
                <w:szCs w:val="20"/>
              </w:rPr>
            </w:pPr>
            <w:r w:rsidRPr="004E3939">
              <w:rPr>
                <w:rFonts w:ascii="Arial Narrow" w:hAnsi="Arial Narrow"/>
                <w:bCs/>
                <w:i/>
                <w:iCs/>
                <w:color w:val="000000" w:themeColor="text1"/>
                <w:sz w:val="20"/>
                <w:szCs w:val="20"/>
              </w:rPr>
              <w:t xml:space="preserve"> </w:t>
            </w:r>
          </w:p>
          <w:p w14:paraId="3DA75926" w14:textId="1C6EC712" w:rsidR="004E3939" w:rsidRPr="004E3939" w:rsidRDefault="004E3939" w:rsidP="004E3939">
            <w:pPr>
              <w:ind w:left="1014" w:right="567"/>
              <w:jc w:val="both"/>
              <w:rPr>
                <w:rFonts w:ascii="Arial Narrow" w:hAnsi="Arial Narrow"/>
                <w:bCs/>
                <w:i/>
                <w:iCs/>
                <w:color w:val="000000" w:themeColor="text1"/>
                <w:sz w:val="20"/>
                <w:szCs w:val="20"/>
              </w:rPr>
            </w:pPr>
            <w:r w:rsidRPr="004E3939">
              <w:rPr>
                <w:rFonts w:ascii="Arial Narrow" w:hAnsi="Arial Narrow"/>
                <w:bCs/>
                <w:i/>
                <w:iCs/>
                <w:color w:val="000000" w:themeColor="text1"/>
                <w:sz w:val="20"/>
                <w:szCs w:val="20"/>
              </w:rPr>
              <w:t xml:space="preserve">«(…) 3. Dado su carácter parafiscal, los recursos de la seguridad social en salud tienen destinación específica, esto es, no pueden ser empleados para fines diferentes a la seguridad social. Así lo establece expresamente el artículo 48 de la Carta Política al disponer que “No se podrán destinar ni utilizar los recursos de las instituciones de la Seguridad Social para fines diferentes a ella”. Sobre el alcance de esta cláusula constitucional la jurisprudencia constitucional ha dicho:  </w:t>
            </w:r>
          </w:p>
          <w:p w14:paraId="5813EEA7" w14:textId="77777777" w:rsidR="004E3939" w:rsidRPr="004E3939" w:rsidRDefault="004E3939" w:rsidP="004E3939">
            <w:pPr>
              <w:ind w:left="1014" w:right="567"/>
              <w:jc w:val="both"/>
              <w:rPr>
                <w:rFonts w:ascii="Arial Narrow" w:hAnsi="Arial Narrow"/>
                <w:bCs/>
                <w:i/>
                <w:iCs/>
                <w:color w:val="000000" w:themeColor="text1"/>
                <w:sz w:val="20"/>
                <w:szCs w:val="20"/>
              </w:rPr>
            </w:pPr>
            <w:r w:rsidRPr="004E3939">
              <w:rPr>
                <w:rFonts w:ascii="Arial Narrow" w:hAnsi="Arial Narrow"/>
                <w:bCs/>
                <w:i/>
                <w:iCs/>
                <w:color w:val="000000" w:themeColor="text1"/>
                <w:sz w:val="20"/>
                <w:szCs w:val="20"/>
              </w:rPr>
              <w:t xml:space="preserve"> </w:t>
            </w:r>
          </w:p>
          <w:p w14:paraId="0FB7736F" w14:textId="77777777" w:rsidR="004E3939" w:rsidRPr="004E3939" w:rsidRDefault="004E3939" w:rsidP="004E3939">
            <w:pPr>
              <w:ind w:left="1014" w:right="567"/>
              <w:jc w:val="both"/>
              <w:rPr>
                <w:rFonts w:ascii="Arial Narrow" w:hAnsi="Arial Narrow"/>
                <w:bCs/>
                <w:i/>
                <w:iCs/>
                <w:color w:val="000000" w:themeColor="text1"/>
                <w:sz w:val="20"/>
                <w:szCs w:val="20"/>
              </w:rPr>
            </w:pPr>
            <w:r w:rsidRPr="004E3939">
              <w:rPr>
                <w:rFonts w:ascii="Arial Narrow" w:hAnsi="Arial Narrow"/>
                <w:bCs/>
                <w:i/>
                <w:iCs/>
                <w:color w:val="000000" w:themeColor="text1"/>
                <w:sz w:val="20"/>
                <w:szCs w:val="20"/>
              </w:rPr>
              <w:t xml:space="preserve">“Se trata de una norma fundamental de indudable carácter imperativo y absoluto respecto del cual no se contemplan excepciones, ni se permite supeditar su cumplimiento —de aplicación inmediata— a previsiones o restricciones de jerarquía legal.  </w:t>
            </w:r>
          </w:p>
          <w:p w14:paraId="0BD418FB" w14:textId="77777777" w:rsidR="004E3939" w:rsidRPr="004E3939" w:rsidRDefault="004E3939" w:rsidP="004E3939">
            <w:pPr>
              <w:ind w:left="1014" w:right="567"/>
              <w:jc w:val="both"/>
              <w:rPr>
                <w:rFonts w:ascii="Arial Narrow" w:hAnsi="Arial Narrow"/>
                <w:bCs/>
                <w:i/>
                <w:iCs/>
                <w:color w:val="000000" w:themeColor="text1"/>
                <w:sz w:val="20"/>
                <w:szCs w:val="20"/>
              </w:rPr>
            </w:pPr>
            <w:r w:rsidRPr="004E3939">
              <w:rPr>
                <w:rFonts w:ascii="Arial Narrow" w:hAnsi="Arial Narrow"/>
                <w:bCs/>
                <w:i/>
                <w:iCs/>
                <w:color w:val="000000" w:themeColor="text1"/>
                <w:sz w:val="20"/>
                <w:szCs w:val="20"/>
              </w:rPr>
              <w:t xml:space="preserve"> </w:t>
            </w:r>
          </w:p>
          <w:p w14:paraId="62CF1CBD" w14:textId="74BEC3B4" w:rsidR="004E3939" w:rsidRPr="004E3939" w:rsidRDefault="004E3939" w:rsidP="004E3939">
            <w:pPr>
              <w:ind w:left="1014" w:right="567"/>
              <w:jc w:val="both"/>
              <w:rPr>
                <w:rFonts w:ascii="Arial Narrow" w:hAnsi="Arial Narrow"/>
                <w:bCs/>
                <w:i/>
                <w:iCs/>
                <w:color w:val="000000" w:themeColor="text1"/>
                <w:sz w:val="20"/>
                <w:szCs w:val="20"/>
              </w:rPr>
            </w:pPr>
            <w:r w:rsidRPr="004E3939">
              <w:rPr>
                <w:rFonts w:ascii="Arial Narrow" w:hAnsi="Arial Narrow"/>
                <w:bCs/>
                <w:i/>
                <w:iCs/>
                <w:color w:val="000000" w:themeColor="text1"/>
                <w:sz w:val="20"/>
                <w:szCs w:val="20"/>
              </w:rPr>
              <w:t xml:space="preserve">“Por tanto, la calidad superior y prevalente del mandato constitucional desplaza toda norma inferior que pueda desvirtuar sus alcances, y, si alguien llegase a invocar con tal objeto las disposiciones de la ley en materia de liquidación forzosa de las instituciones financieras, deben ser ellas inaplicadas, para, en su lugar, hacer que valga el enunciado precepto de la </w:t>
            </w:r>
            <w:r w:rsidRPr="004E3939">
              <w:rPr>
                <w:rFonts w:ascii="Arial Narrow" w:hAnsi="Arial Narrow"/>
                <w:bCs/>
                <w:i/>
                <w:iCs/>
                <w:color w:val="000000" w:themeColor="text1"/>
                <w:sz w:val="20"/>
                <w:szCs w:val="20"/>
              </w:rPr>
              <w:lastRenderedPageBreak/>
              <w:t xml:space="preserve">Constitución, según lo dispone el 4 </w:t>
            </w:r>
            <w:proofErr w:type="spellStart"/>
            <w:r w:rsidRPr="004E3939">
              <w:rPr>
                <w:rFonts w:ascii="Arial Narrow" w:hAnsi="Arial Narrow"/>
                <w:bCs/>
                <w:i/>
                <w:iCs/>
                <w:color w:val="000000" w:themeColor="text1"/>
                <w:sz w:val="20"/>
                <w:szCs w:val="20"/>
              </w:rPr>
              <w:t>Ibídem</w:t>
            </w:r>
            <w:proofErr w:type="spellEnd"/>
            <w:r w:rsidRPr="004E3939">
              <w:rPr>
                <w:rFonts w:ascii="Arial Narrow" w:hAnsi="Arial Narrow"/>
                <w:bCs/>
                <w:i/>
                <w:iCs/>
                <w:color w:val="000000" w:themeColor="text1"/>
                <w:sz w:val="20"/>
                <w:szCs w:val="20"/>
              </w:rPr>
              <w:t>, en virtud de la inocultable incompatibilidad existente.”»</w:t>
            </w:r>
          </w:p>
          <w:p w14:paraId="3E8E6A68"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 </w:t>
            </w:r>
          </w:p>
          <w:p w14:paraId="7894F943"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En relación con la naturaleza jurídica de los recursos de la Seguridad Social en Salud , la Corte Constitucional al estudiar la constitucionalidad de la expresión: “ordenará el reintegro inmediato de los recursos”, contenida en el artículo 3 del Decreto Ley 1281 de 2002 reiteró que en efecto tanto los de salud como los de pensiones “(…) son en realidad contribuciones parafiscales de destinación específica, en cuanto constituyen un gravamen, fruto de la soberanía fiscal del Estado, que se cobra obligatoriamente a determinadas personas para satisfacer sus necesidades de salud y pensiones y que, al no comportar una contraprestación equivalente al monto de la tarifa fijada, se destinan también a la financiación global bien del Sistema General de Seguridad Social en Salud, bien del Sistema General de Seguridad Social en Pensiones”.  (C-086/02, C-789/02)  </w:t>
            </w:r>
          </w:p>
          <w:p w14:paraId="062B653F"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 </w:t>
            </w:r>
          </w:p>
          <w:p w14:paraId="49D7D690"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Igualmente, la Corte puntualizó que los recursos parafiscales: “son recursos públicos, pertenecen al Estado, aunque están destinados a favorecer solamente al grupo, gremio o sector que los tributa</w:t>
            </w:r>
            <w:proofErr w:type="gramStart"/>
            <w:r w:rsidRPr="004E3939">
              <w:rPr>
                <w:rFonts w:ascii="Arial Narrow" w:hAnsi="Arial Narrow"/>
                <w:bCs/>
                <w:color w:val="000000" w:themeColor="text1"/>
              </w:rPr>
              <w:t>” ,</w:t>
            </w:r>
            <w:proofErr w:type="gramEnd"/>
            <w:r w:rsidRPr="004E3939">
              <w:rPr>
                <w:rFonts w:ascii="Arial Narrow" w:hAnsi="Arial Narrow"/>
                <w:bCs/>
                <w:color w:val="000000" w:themeColor="text1"/>
              </w:rPr>
              <w:t xml:space="preserve"> por eso se invierten exclusivamente en beneficio de éstos. Significa lo anterior que las cotizaciones que hacen los usuarios del sistema de salud, al igual que, como ya se dijo, toda clase de tarifas, copagos, bonificaciones y similares y los aportes del presupuesto nacional, son dineros públicos que las EPS y el Fondo de Solidaridad y Garantía administran sin que en ningún instante se confundan ni con patrimonio de la EPS, ni con el presupuesto nacional o de entidades territoriales, porque no dependen de circunstancias distintas a la atención al afiliado.”  </w:t>
            </w:r>
          </w:p>
          <w:p w14:paraId="784F2062"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 </w:t>
            </w:r>
          </w:p>
          <w:p w14:paraId="0E9A5A26"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Por último, señaló que: “El manejo, administración y ejecución de estos recursos se hará exclusivamente en la forma dispuesta en la ley que los crea y se destinarán sólo al objeto previsto en ella, lo mismo que los rendimientos y excedentes financieros que resulten del ejercicio contable.”  </w:t>
            </w:r>
          </w:p>
          <w:p w14:paraId="528111BC"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 </w:t>
            </w:r>
          </w:p>
          <w:p w14:paraId="3C924066" w14:textId="694F7A1A"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A partir de las</w:t>
            </w:r>
            <w:r w:rsidR="00991261">
              <w:rPr>
                <w:rFonts w:ascii="Arial Narrow" w:hAnsi="Arial Narrow"/>
                <w:bCs/>
                <w:color w:val="000000" w:themeColor="text1"/>
              </w:rPr>
              <w:t xml:space="preserve"> </w:t>
            </w:r>
            <w:r w:rsidRPr="004E3939">
              <w:rPr>
                <w:rFonts w:ascii="Arial Narrow" w:hAnsi="Arial Narrow"/>
                <w:bCs/>
                <w:color w:val="000000" w:themeColor="text1"/>
              </w:rPr>
              <w:t xml:space="preserve">consideraciones jurídicas </w:t>
            </w:r>
            <w:r w:rsidR="00991261">
              <w:rPr>
                <w:rFonts w:ascii="Arial Narrow" w:hAnsi="Arial Narrow"/>
                <w:bCs/>
                <w:color w:val="000000" w:themeColor="text1"/>
              </w:rPr>
              <w:t xml:space="preserve">expuestas </w:t>
            </w:r>
            <w:r w:rsidRPr="004E3939">
              <w:rPr>
                <w:rFonts w:ascii="Arial Narrow" w:hAnsi="Arial Narrow"/>
                <w:bCs/>
                <w:color w:val="000000" w:themeColor="text1"/>
              </w:rPr>
              <w:t xml:space="preserve">y de los pronunciamientos jurisprudenciales transcritos, se colige que dada la naturaleza especial y la prevalencia del mandato constitucional en torno al carácter parafiscal y la destinación específica de los recursos del Sistema General de Seguridad Social en Salud, estos gozan de la protección prevista en el artículo 48 de la Constitución Política, norma de carácter superior que no contempla excepciones, y que no puede ser suspendida o condicionada – en cuanto a su eficacia-, con fundamento en restricciones de orden legal, como lo indica el artículo 4 Ibidem. </w:t>
            </w:r>
          </w:p>
          <w:p w14:paraId="51BD607F"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 </w:t>
            </w:r>
          </w:p>
          <w:p w14:paraId="692BC100" w14:textId="516153C6"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En línea </w:t>
            </w:r>
            <w:r w:rsidR="00991261">
              <w:rPr>
                <w:rFonts w:ascii="Arial Narrow" w:hAnsi="Arial Narrow"/>
                <w:bCs/>
                <w:color w:val="000000" w:themeColor="text1"/>
              </w:rPr>
              <w:t>con</w:t>
            </w:r>
            <w:r w:rsidRPr="004E3939">
              <w:rPr>
                <w:rFonts w:ascii="Arial Narrow" w:hAnsi="Arial Narrow"/>
                <w:bCs/>
                <w:color w:val="000000" w:themeColor="text1"/>
              </w:rPr>
              <w:t xml:space="preserve"> la anterior regla constitucional, fue expedida la Ley 1797 de </w:t>
            </w:r>
            <w:r w:rsidR="00991261" w:rsidRPr="004E3939">
              <w:rPr>
                <w:rFonts w:ascii="Arial Narrow" w:hAnsi="Arial Narrow"/>
                <w:bCs/>
                <w:color w:val="000000" w:themeColor="text1"/>
              </w:rPr>
              <w:t>2016,</w:t>
            </w:r>
            <w:r w:rsidRPr="004E3939">
              <w:rPr>
                <w:rFonts w:ascii="Arial Narrow" w:hAnsi="Arial Narrow"/>
                <w:bCs/>
                <w:color w:val="000000" w:themeColor="text1"/>
              </w:rPr>
              <w:t xml:space="preserve"> el cual señala en su artículo 12 que los procesos de liquidación de las Entidades Promotoras de Salud, inclusive las que se encuentran en curso, antes de la determinación de la prelación de créditos, deberá dar cubrimiento de los recursos adeudados al entonces FOSYGA, hoy ADRES.  </w:t>
            </w:r>
          </w:p>
          <w:p w14:paraId="4E98072C"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 </w:t>
            </w:r>
          </w:p>
          <w:p w14:paraId="39580B96" w14:textId="77777777" w:rsidR="004E3939" w:rsidRPr="00991261" w:rsidRDefault="004E3939" w:rsidP="00991261">
            <w:pPr>
              <w:ind w:left="1014" w:right="567"/>
              <w:jc w:val="both"/>
              <w:rPr>
                <w:rFonts w:ascii="Arial Narrow" w:hAnsi="Arial Narrow"/>
                <w:bCs/>
                <w:i/>
                <w:iCs/>
                <w:color w:val="000000" w:themeColor="text1"/>
                <w:sz w:val="20"/>
                <w:szCs w:val="20"/>
              </w:rPr>
            </w:pPr>
            <w:r w:rsidRPr="00991261">
              <w:rPr>
                <w:rFonts w:ascii="Arial Narrow" w:hAnsi="Arial Narrow"/>
                <w:bCs/>
                <w:i/>
                <w:iCs/>
                <w:color w:val="000000" w:themeColor="text1"/>
                <w:sz w:val="20"/>
                <w:szCs w:val="20"/>
              </w:rPr>
              <w:t xml:space="preserve">“(…) ARTÍCULO  12. Prelación de créditos en los procesos de liquidación de las Instituciones Prestadoras de Servicios de Salud, (IPS), y de las Entidades Promotoras de Salud (EPS). En los procesos de liquidación de las Entidades Promotoras de Salud, incluso los que están en curso, e Instituciones Prestadoras de Servicios de Salud se aplicará la siguiente prelación de créditos, previo el cubrimiento de los recursos adeudados al Fosyga o la entidad que haga sus veces si fuere el caso y los recursos relacionados con los mecánicos de redistribución de riesgo: </w:t>
            </w:r>
          </w:p>
          <w:p w14:paraId="01C142DA" w14:textId="77777777" w:rsidR="004E3939" w:rsidRPr="00991261" w:rsidRDefault="004E3939" w:rsidP="00991261">
            <w:pPr>
              <w:ind w:left="1014" w:right="567"/>
              <w:jc w:val="both"/>
              <w:rPr>
                <w:rFonts w:ascii="Arial Narrow" w:hAnsi="Arial Narrow"/>
                <w:bCs/>
                <w:i/>
                <w:iCs/>
                <w:color w:val="000000" w:themeColor="text1"/>
                <w:sz w:val="20"/>
                <w:szCs w:val="20"/>
              </w:rPr>
            </w:pPr>
            <w:r w:rsidRPr="00991261">
              <w:rPr>
                <w:rFonts w:ascii="Arial Narrow" w:hAnsi="Arial Narrow"/>
                <w:bCs/>
                <w:i/>
                <w:iCs/>
                <w:color w:val="000000" w:themeColor="text1"/>
                <w:sz w:val="20"/>
                <w:szCs w:val="20"/>
              </w:rPr>
              <w:t xml:space="preserve">  </w:t>
            </w:r>
          </w:p>
          <w:p w14:paraId="6E2E5200" w14:textId="77777777" w:rsidR="004E3939" w:rsidRPr="00991261" w:rsidRDefault="004E3939" w:rsidP="00991261">
            <w:pPr>
              <w:ind w:left="1014" w:right="567"/>
              <w:jc w:val="both"/>
              <w:rPr>
                <w:rFonts w:ascii="Arial Narrow" w:hAnsi="Arial Narrow"/>
                <w:bCs/>
                <w:i/>
                <w:iCs/>
                <w:color w:val="000000" w:themeColor="text1"/>
                <w:sz w:val="20"/>
                <w:szCs w:val="20"/>
              </w:rPr>
            </w:pPr>
            <w:r w:rsidRPr="00991261">
              <w:rPr>
                <w:rFonts w:ascii="Arial Narrow" w:hAnsi="Arial Narrow"/>
                <w:bCs/>
                <w:i/>
                <w:iCs/>
                <w:color w:val="000000" w:themeColor="text1"/>
                <w:sz w:val="20"/>
                <w:szCs w:val="20"/>
              </w:rPr>
              <w:t>a)</w:t>
            </w:r>
            <w:r w:rsidRPr="00991261">
              <w:rPr>
                <w:rFonts w:ascii="Arial Narrow" w:hAnsi="Arial Narrow"/>
                <w:bCs/>
                <w:i/>
                <w:iCs/>
                <w:color w:val="000000" w:themeColor="text1"/>
                <w:sz w:val="20"/>
                <w:szCs w:val="20"/>
              </w:rPr>
              <w:tab/>
              <w:t xml:space="preserve">Deudas laborales; </w:t>
            </w:r>
          </w:p>
          <w:p w14:paraId="020CBBAC" w14:textId="77777777" w:rsidR="004E3939" w:rsidRPr="00991261" w:rsidRDefault="004E3939" w:rsidP="00991261">
            <w:pPr>
              <w:ind w:left="1014" w:right="567"/>
              <w:jc w:val="both"/>
              <w:rPr>
                <w:rFonts w:ascii="Arial Narrow" w:hAnsi="Arial Narrow"/>
                <w:bCs/>
                <w:i/>
                <w:iCs/>
                <w:color w:val="000000" w:themeColor="text1"/>
                <w:sz w:val="20"/>
                <w:szCs w:val="20"/>
              </w:rPr>
            </w:pPr>
            <w:r w:rsidRPr="00991261">
              <w:rPr>
                <w:rFonts w:ascii="Arial Narrow" w:hAnsi="Arial Narrow"/>
                <w:bCs/>
                <w:i/>
                <w:iCs/>
                <w:color w:val="000000" w:themeColor="text1"/>
                <w:sz w:val="20"/>
                <w:szCs w:val="20"/>
              </w:rPr>
              <w:t xml:space="preserve">  </w:t>
            </w:r>
          </w:p>
          <w:p w14:paraId="3D886EA8" w14:textId="77777777" w:rsidR="004E3939" w:rsidRPr="00991261" w:rsidRDefault="004E3939" w:rsidP="00991261">
            <w:pPr>
              <w:ind w:left="1014" w:right="567"/>
              <w:jc w:val="both"/>
              <w:rPr>
                <w:rFonts w:ascii="Arial Narrow" w:hAnsi="Arial Narrow"/>
                <w:bCs/>
                <w:i/>
                <w:iCs/>
                <w:color w:val="000000" w:themeColor="text1"/>
                <w:sz w:val="20"/>
                <w:szCs w:val="20"/>
              </w:rPr>
            </w:pPr>
            <w:r w:rsidRPr="00991261">
              <w:rPr>
                <w:rFonts w:ascii="Arial Narrow" w:hAnsi="Arial Narrow"/>
                <w:bCs/>
                <w:i/>
                <w:iCs/>
                <w:color w:val="000000" w:themeColor="text1"/>
                <w:sz w:val="20"/>
                <w:szCs w:val="20"/>
              </w:rPr>
              <w:t>b)</w:t>
            </w:r>
            <w:r w:rsidRPr="00991261">
              <w:rPr>
                <w:rFonts w:ascii="Arial Narrow" w:hAnsi="Arial Narrow"/>
                <w:bCs/>
                <w:i/>
                <w:iCs/>
                <w:color w:val="000000" w:themeColor="text1"/>
                <w:sz w:val="20"/>
                <w:szCs w:val="20"/>
              </w:rPr>
              <w:tab/>
              <w:t xml:space="preserve">Deudas reconocidas a Instituciones Prestadoras de Servicios de Salud. En estas deudas se incluirán los </w:t>
            </w:r>
            <w:proofErr w:type="gramStart"/>
            <w:r w:rsidRPr="00991261">
              <w:rPr>
                <w:rFonts w:ascii="Arial Narrow" w:hAnsi="Arial Narrow"/>
                <w:bCs/>
                <w:i/>
                <w:iCs/>
                <w:color w:val="000000" w:themeColor="text1"/>
                <w:sz w:val="20"/>
                <w:szCs w:val="20"/>
              </w:rPr>
              <w:t>servicios prestados o tecnologías prestadas</w:t>
            </w:r>
            <w:proofErr w:type="gramEnd"/>
            <w:r w:rsidRPr="00991261">
              <w:rPr>
                <w:rFonts w:ascii="Arial Narrow" w:hAnsi="Arial Narrow"/>
                <w:bCs/>
                <w:i/>
                <w:iCs/>
                <w:color w:val="000000" w:themeColor="text1"/>
                <w:sz w:val="20"/>
                <w:szCs w:val="20"/>
              </w:rPr>
              <w:t xml:space="preserve"> por urgencias, así no medie contrato. En estos casos la liquidación debe desarrollar la auditoría y revisión de cuentas para su reconocimiento en lo pertinente. </w:t>
            </w:r>
          </w:p>
          <w:p w14:paraId="3609ED37" w14:textId="77777777" w:rsidR="004E3939" w:rsidRPr="00991261" w:rsidRDefault="004E3939" w:rsidP="00991261">
            <w:pPr>
              <w:ind w:left="1014" w:right="567"/>
              <w:jc w:val="both"/>
              <w:rPr>
                <w:rFonts w:ascii="Arial Narrow" w:hAnsi="Arial Narrow"/>
                <w:bCs/>
                <w:i/>
                <w:iCs/>
                <w:color w:val="000000" w:themeColor="text1"/>
                <w:sz w:val="20"/>
                <w:szCs w:val="20"/>
              </w:rPr>
            </w:pPr>
            <w:r w:rsidRPr="00991261">
              <w:rPr>
                <w:rFonts w:ascii="Arial Narrow" w:hAnsi="Arial Narrow"/>
                <w:bCs/>
                <w:i/>
                <w:iCs/>
                <w:color w:val="000000" w:themeColor="text1"/>
                <w:sz w:val="20"/>
                <w:szCs w:val="20"/>
              </w:rPr>
              <w:t xml:space="preserve">  </w:t>
            </w:r>
          </w:p>
          <w:p w14:paraId="35DE1AB7" w14:textId="77777777" w:rsidR="004E3939" w:rsidRPr="00991261" w:rsidRDefault="004E3939" w:rsidP="00991261">
            <w:pPr>
              <w:ind w:left="1014" w:right="567"/>
              <w:jc w:val="both"/>
              <w:rPr>
                <w:rFonts w:ascii="Arial Narrow" w:hAnsi="Arial Narrow"/>
                <w:bCs/>
                <w:i/>
                <w:iCs/>
                <w:color w:val="000000" w:themeColor="text1"/>
                <w:sz w:val="20"/>
                <w:szCs w:val="20"/>
              </w:rPr>
            </w:pPr>
            <w:r w:rsidRPr="00991261">
              <w:rPr>
                <w:rFonts w:ascii="Arial Narrow" w:hAnsi="Arial Narrow"/>
                <w:bCs/>
                <w:i/>
                <w:iCs/>
                <w:color w:val="000000" w:themeColor="text1"/>
                <w:sz w:val="20"/>
                <w:szCs w:val="20"/>
              </w:rPr>
              <w:t>c)</w:t>
            </w:r>
            <w:r w:rsidRPr="00991261">
              <w:rPr>
                <w:rFonts w:ascii="Arial Narrow" w:hAnsi="Arial Narrow"/>
                <w:bCs/>
                <w:i/>
                <w:iCs/>
                <w:color w:val="000000" w:themeColor="text1"/>
                <w:sz w:val="20"/>
                <w:szCs w:val="20"/>
              </w:rPr>
              <w:tab/>
              <w:t xml:space="preserve">Deudas de impuestos nacionales y municipales; </w:t>
            </w:r>
          </w:p>
          <w:p w14:paraId="24B3C01D" w14:textId="77777777" w:rsidR="004E3939" w:rsidRPr="00991261" w:rsidRDefault="004E3939" w:rsidP="00991261">
            <w:pPr>
              <w:ind w:left="1014" w:right="567"/>
              <w:jc w:val="both"/>
              <w:rPr>
                <w:rFonts w:ascii="Arial Narrow" w:hAnsi="Arial Narrow"/>
                <w:bCs/>
                <w:i/>
                <w:iCs/>
                <w:color w:val="000000" w:themeColor="text1"/>
                <w:sz w:val="20"/>
                <w:szCs w:val="20"/>
              </w:rPr>
            </w:pPr>
            <w:r w:rsidRPr="00991261">
              <w:rPr>
                <w:rFonts w:ascii="Arial Narrow" w:hAnsi="Arial Narrow"/>
                <w:bCs/>
                <w:i/>
                <w:iCs/>
                <w:color w:val="000000" w:themeColor="text1"/>
                <w:sz w:val="20"/>
                <w:szCs w:val="20"/>
              </w:rPr>
              <w:t xml:space="preserve">  </w:t>
            </w:r>
          </w:p>
          <w:p w14:paraId="1EDDE603" w14:textId="77777777" w:rsidR="004E3939" w:rsidRPr="00991261" w:rsidRDefault="004E3939" w:rsidP="00991261">
            <w:pPr>
              <w:ind w:left="1014" w:right="567"/>
              <w:jc w:val="both"/>
              <w:rPr>
                <w:rFonts w:ascii="Arial Narrow" w:hAnsi="Arial Narrow"/>
                <w:bCs/>
                <w:i/>
                <w:iCs/>
                <w:color w:val="000000" w:themeColor="text1"/>
                <w:sz w:val="20"/>
                <w:szCs w:val="20"/>
              </w:rPr>
            </w:pPr>
            <w:r w:rsidRPr="00991261">
              <w:rPr>
                <w:rFonts w:ascii="Arial Narrow" w:hAnsi="Arial Narrow"/>
                <w:bCs/>
                <w:i/>
                <w:iCs/>
                <w:color w:val="000000" w:themeColor="text1"/>
                <w:sz w:val="20"/>
                <w:szCs w:val="20"/>
              </w:rPr>
              <w:t>d)</w:t>
            </w:r>
            <w:r w:rsidRPr="00991261">
              <w:rPr>
                <w:rFonts w:ascii="Arial Narrow" w:hAnsi="Arial Narrow"/>
                <w:bCs/>
                <w:i/>
                <w:iCs/>
                <w:color w:val="000000" w:themeColor="text1"/>
                <w:sz w:val="20"/>
                <w:szCs w:val="20"/>
              </w:rPr>
              <w:tab/>
              <w:t xml:space="preserve">Deudas con garantía prendaria o hipotecaria, y </w:t>
            </w:r>
          </w:p>
          <w:p w14:paraId="41CDD3E3" w14:textId="77777777" w:rsidR="004E3939" w:rsidRPr="00991261" w:rsidRDefault="004E3939" w:rsidP="00991261">
            <w:pPr>
              <w:ind w:left="1014" w:right="567"/>
              <w:jc w:val="both"/>
              <w:rPr>
                <w:rFonts w:ascii="Arial Narrow" w:hAnsi="Arial Narrow"/>
                <w:bCs/>
                <w:i/>
                <w:iCs/>
                <w:color w:val="000000" w:themeColor="text1"/>
                <w:sz w:val="20"/>
                <w:szCs w:val="20"/>
              </w:rPr>
            </w:pPr>
            <w:r w:rsidRPr="00991261">
              <w:rPr>
                <w:rFonts w:ascii="Arial Narrow" w:hAnsi="Arial Narrow"/>
                <w:bCs/>
                <w:i/>
                <w:iCs/>
                <w:color w:val="000000" w:themeColor="text1"/>
                <w:sz w:val="20"/>
                <w:szCs w:val="20"/>
              </w:rPr>
              <w:t xml:space="preserve">  </w:t>
            </w:r>
          </w:p>
          <w:p w14:paraId="10467A4B" w14:textId="77777777" w:rsidR="004E3939" w:rsidRPr="00991261" w:rsidRDefault="004E3939" w:rsidP="00991261">
            <w:pPr>
              <w:ind w:left="1014" w:right="567"/>
              <w:jc w:val="both"/>
              <w:rPr>
                <w:rFonts w:ascii="Arial Narrow" w:hAnsi="Arial Narrow"/>
                <w:bCs/>
                <w:i/>
                <w:iCs/>
                <w:color w:val="000000" w:themeColor="text1"/>
                <w:sz w:val="20"/>
                <w:szCs w:val="20"/>
              </w:rPr>
            </w:pPr>
            <w:r w:rsidRPr="00991261">
              <w:rPr>
                <w:rFonts w:ascii="Arial Narrow" w:hAnsi="Arial Narrow"/>
                <w:bCs/>
                <w:i/>
                <w:iCs/>
                <w:color w:val="000000" w:themeColor="text1"/>
                <w:sz w:val="20"/>
                <w:szCs w:val="20"/>
              </w:rPr>
              <w:t>e)</w:t>
            </w:r>
            <w:r w:rsidRPr="00991261">
              <w:rPr>
                <w:rFonts w:ascii="Arial Narrow" w:hAnsi="Arial Narrow"/>
                <w:bCs/>
                <w:i/>
                <w:iCs/>
                <w:color w:val="000000" w:themeColor="text1"/>
                <w:sz w:val="20"/>
                <w:szCs w:val="20"/>
              </w:rPr>
              <w:tab/>
              <w:t xml:space="preserve">Deuda quirografaria”. </w:t>
            </w:r>
          </w:p>
          <w:p w14:paraId="7ACE4604"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lastRenderedPageBreak/>
              <w:t xml:space="preserve"> </w:t>
            </w:r>
          </w:p>
          <w:p w14:paraId="5660FF30" w14:textId="58DC238B"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En desarrollo de esta disposición legal, el Ministerio de Salud y Protección Social expidió la Resolución 574 de </w:t>
            </w:r>
            <w:r w:rsidR="00991261" w:rsidRPr="004E3939">
              <w:rPr>
                <w:rFonts w:ascii="Arial Narrow" w:hAnsi="Arial Narrow"/>
                <w:bCs/>
                <w:color w:val="000000" w:themeColor="text1"/>
              </w:rPr>
              <w:t>2017,</w:t>
            </w:r>
            <w:r w:rsidRPr="004E3939">
              <w:rPr>
                <w:rFonts w:ascii="Arial Narrow" w:hAnsi="Arial Narrow"/>
                <w:bCs/>
                <w:color w:val="000000" w:themeColor="text1"/>
              </w:rPr>
              <w:t xml:space="preserve"> mediante la cual fijó el procedimiento que las Entidades en proceso de liquidación deberán realizar para culminar de manera satisfactoria el proceso de cierre y aclaración de los asuntos pendientes ante el entonces FOSYGA, hoy ADRES.  </w:t>
            </w:r>
          </w:p>
          <w:p w14:paraId="622AB877"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 </w:t>
            </w:r>
          </w:p>
          <w:p w14:paraId="1BF399E1"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De manera específica, el artículo 2° la Resolución 574 de 2017 establece que el liquidador “(…) en un término máximo de seis (6) meses contados a partir del acto administrativo que autorice u ordene la liquidación (…) y en todo caso, antes del establecimiento de la masa de liquidación (…), deberá - en el término indicado y en otros casos dentro de los diez (10) días hábiles siguientes al inicio del proceso de liquidación - adelantar las acciones tendientes a identificar, restituir y/o constituir las respectivas reservas antes de la determinación de la masa y no masa de liquidación.  </w:t>
            </w:r>
          </w:p>
          <w:p w14:paraId="6B630EBF"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 </w:t>
            </w:r>
          </w:p>
          <w:p w14:paraId="5239B690"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Por consiguiente, la obligación de garantizar la protección y destinación de los recursos del Sistema General de Seguridad Social en Salud de acuerdo con lo establecido en el artículo 48 de la Constitución Política se concreta en lo que concierne a los Agentes Liquidadores de las EPS e IPS en el deber de aplicar las disposiciones especiales contenidas en el artículo 12 de la ley 1797 de 2016 y los lineamientos de la Resolución 574 de 2017 a la interpretación de las reglas generales de los procesos concursales.  </w:t>
            </w:r>
          </w:p>
          <w:p w14:paraId="0B1D91DA"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 </w:t>
            </w:r>
          </w:p>
          <w:p w14:paraId="0870FC04"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Como conclusión en este punto, se tiene entonces que los recursos de la Seguridad Social en Salud son de naturaleza parafiscal, son recursos públicos afectos a una finalidad especifica que no pueden integrar la caja común ni de los recursos del Estado ni de los particulares que en virtud de su actividad colaboran en la prestación del servicio público.  </w:t>
            </w:r>
          </w:p>
          <w:p w14:paraId="7180D22F"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 </w:t>
            </w:r>
          </w:p>
          <w:p w14:paraId="02813614" w14:textId="1EA5209B" w:rsidR="004E3939" w:rsidRPr="004E3939" w:rsidRDefault="004E3939" w:rsidP="00991261">
            <w:pPr>
              <w:ind w:left="476" w:right="567"/>
              <w:jc w:val="both"/>
              <w:rPr>
                <w:rFonts w:ascii="Arial Narrow" w:hAnsi="Arial Narrow"/>
                <w:bCs/>
                <w:color w:val="000000" w:themeColor="text1"/>
              </w:rPr>
            </w:pPr>
            <w:r w:rsidRPr="004E3939">
              <w:rPr>
                <w:rFonts w:ascii="Arial Narrow" w:hAnsi="Arial Narrow"/>
                <w:bCs/>
                <w:color w:val="000000" w:themeColor="text1"/>
              </w:rPr>
              <w:t xml:space="preserve">En virtud de lo anterior, los recursos de la Sistema no pertenecen al ente económico (EPS que está siendo objeto de liquidación, en tal sentido, es claro el artículo 12 de Ley 1797 de 2016, al establecer que “previo” al ejercicio de prelación de créditos se deberán retornar los recursos que no pertenecen a la institución (IPS o EPS) puesto que integrarlos a la masa y por lo tanto a un esquema de prelación (así teóricamente estén de primeros)- sería desconocer la exclusiva y especial afectación constitucional de estas rentas públicas, tal como tuvo la oportunidad de expresarlo la Corte Constitucional en sentencia C-890 de 2012, en la cual proscribió la posibilidad de integrar las rentas parafiscales a las de la institución del sistema de seguridad social para pagar acreencias propias de ésta última, aun tratándose de deudas en favor del propio Estado. Expresó la citada jurisprudencia: “El Consejo de Estado ha hecho énfasis en que ‘el artículo 182 de la Ley 100 de 1993 hace evidente el hecho de que los recursos y el patrimonio que le pertenecen a la seguridad Social no pueden confundirse dentro de los propios de la entidad que los administra’, al ordenarle a las entidades promotoras de salud manejar ‘los recursos de la seguridad social originados en las cotizaciones de los afiliados al sistema, en cuentas independientes del resto de rentas y bienes de la entidad”  </w:t>
            </w:r>
          </w:p>
          <w:p w14:paraId="320453AA"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 </w:t>
            </w:r>
          </w:p>
          <w:p w14:paraId="6B0A75A7"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Es entonces la naturaleza especial de los recursos del Sistema General de Seguridad Social en Salud, razón suficiente para que se haya previsto la obligación de aplicar lo establecido en el artículo 12 de la Ley 1797 de 2016 al trámite del proceso liquidatario de las IPS y las EPS. En esa medida, la obligación de reintegro de los recursos de la salud tiene naturaleza ex lege, esto es, encuentra su fuente en la Constitución Política y la Ley, de ahí que, el administrador de los recursos del sistema de seguridad social en salud pueda exigir la restitución de los recursos de manera inmediata, en el marco de una liquidación forzosa o voluntaria de las Entidades Promotoras de Salud, reglamentado la Resolución 574 de 2017 del Ministerio de Salud y Protección Social. </w:t>
            </w:r>
          </w:p>
          <w:p w14:paraId="0B5070CC" w14:textId="77777777" w:rsidR="004E3939" w:rsidRPr="004E3939" w:rsidRDefault="004E3939" w:rsidP="004E3939">
            <w:pPr>
              <w:ind w:left="476" w:right="567"/>
              <w:jc w:val="both"/>
              <w:rPr>
                <w:rFonts w:ascii="Arial Narrow" w:hAnsi="Arial Narrow"/>
                <w:b/>
                <w:color w:val="000000" w:themeColor="text1"/>
              </w:rPr>
            </w:pPr>
            <w:r w:rsidRPr="004E3939">
              <w:rPr>
                <w:rFonts w:ascii="Arial Narrow" w:hAnsi="Arial Narrow"/>
                <w:b/>
                <w:color w:val="000000" w:themeColor="text1"/>
              </w:rPr>
              <w:t xml:space="preserve">  </w:t>
            </w:r>
          </w:p>
          <w:p w14:paraId="2803EF98" w14:textId="77777777" w:rsidR="004E3939" w:rsidRPr="004E3939" w:rsidRDefault="004E3939" w:rsidP="004E3939">
            <w:pPr>
              <w:ind w:left="476" w:right="567"/>
              <w:jc w:val="both"/>
              <w:rPr>
                <w:rFonts w:ascii="Arial Narrow" w:hAnsi="Arial Narrow"/>
                <w:b/>
                <w:color w:val="000000" w:themeColor="text1"/>
              </w:rPr>
            </w:pPr>
            <w:r w:rsidRPr="004E3939">
              <w:rPr>
                <w:rFonts w:ascii="Arial Narrow" w:hAnsi="Arial Narrow"/>
                <w:b/>
                <w:color w:val="000000" w:themeColor="text1"/>
              </w:rPr>
              <w:tab/>
              <w:t xml:space="preserve">• </w:t>
            </w:r>
            <w:r w:rsidRPr="004E3939">
              <w:rPr>
                <w:rFonts w:ascii="Arial Narrow" w:hAnsi="Arial Narrow"/>
                <w:b/>
                <w:color w:val="000000" w:themeColor="text1"/>
              </w:rPr>
              <w:tab/>
              <w:t xml:space="preserve">Función de administración de la ADRES. </w:t>
            </w:r>
          </w:p>
          <w:p w14:paraId="3A0B5783" w14:textId="77777777" w:rsidR="004E3939" w:rsidRPr="004E3939" w:rsidRDefault="004E3939" w:rsidP="004E3939">
            <w:pPr>
              <w:ind w:left="476" w:right="567"/>
              <w:jc w:val="both"/>
              <w:rPr>
                <w:rFonts w:ascii="Arial Narrow" w:hAnsi="Arial Narrow"/>
                <w:b/>
                <w:color w:val="000000" w:themeColor="text1"/>
              </w:rPr>
            </w:pPr>
            <w:r w:rsidRPr="004E3939">
              <w:rPr>
                <w:rFonts w:ascii="Arial Narrow" w:hAnsi="Arial Narrow"/>
                <w:b/>
                <w:color w:val="000000" w:themeColor="text1"/>
              </w:rPr>
              <w:t xml:space="preserve">  </w:t>
            </w:r>
          </w:p>
          <w:p w14:paraId="60290664"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La protección de los recursos del Sistema, administrados por esta Entidad, es un deber de la Administración, así se entiende de los artículos 48 y 63 constitucionales, en los que se establece el carácter público de estos, su destinación y las prerrogativas que por estas razones se les otorgan. </w:t>
            </w:r>
          </w:p>
          <w:p w14:paraId="20E72750"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  </w:t>
            </w:r>
          </w:p>
          <w:p w14:paraId="5EDBDAA3"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Esto es concordante con el objeto de la ADRES y sus funciones, establecidas en el artículo 66 de la Ley 1753 de 2015 y el Decreto 1429 de 2016, puesto que su tarea principal es la administración de los recursos a su cargo. </w:t>
            </w:r>
          </w:p>
          <w:p w14:paraId="335F905C"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  </w:t>
            </w:r>
          </w:p>
          <w:p w14:paraId="7431D789"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lastRenderedPageBreak/>
              <w:t xml:space="preserve">La labor de administración se materializa con el deber de la adecuada gestión de los recursos, su protección -en todos los escenarios en que se haga parte-, su recuperación -en el caso de apropiaciones y reconocimientos sin justa causa- y en general, con todas las acciones necesarias para su garantía, en el marco de las competencias legales y reglamentarias de la Entidad. </w:t>
            </w:r>
          </w:p>
          <w:p w14:paraId="372692DD"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  </w:t>
            </w:r>
          </w:p>
          <w:p w14:paraId="5DDCF7EF"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Ahora bien, en el presente escenario, al encontrarse en el marco de procesos </w:t>
            </w:r>
            <w:proofErr w:type="spellStart"/>
            <w:r w:rsidRPr="004E3939">
              <w:rPr>
                <w:rFonts w:ascii="Arial Narrow" w:hAnsi="Arial Narrow"/>
                <w:bCs/>
                <w:color w:val="000000" w:themeColor="text1"/>
              </w:rPr>
              <w:t>liquidatorios</w:t>
            </w:r>
            <w:proofErr w:type="spellEnd"/>
            <w:r w:rsidRPr="004E3939">
              <w:rPr>
                <w:rFonts w:ascii="Arial Narrow" w:hAnsi="Arial Narrow"/>
                <w:bCs/>
                <w:color w:val="000000" w:themeColor="text1"/>
              </w:rPr>
              <w:t xml:space="preserve"> en los que se conocen montos a favor del Sistema General de Seguridad Social en Salud, entre otros por la determinación resultado del proceso de reintegro de recursos del artículo 3 del Decreto Ley 1281 de 2002, los giros que se efectúen a la liquidación exigen -dada la condición de administradora de la ADRES y las prerrogativas constitucionales, legales, reglamentarias y jurisprudenciales que tienen los recursos administrados- la observancia de los presupuestos normativos dispuestos para la protección de los recursos del Sistema, tales como el artículo 15 del Decreto 1281 de 2002, artículo 12 de la Ley 1797 de 2016 y la Resolución 574 de 2017. </w:t>
            </w:r>
          </w:p>
          <w:p w14:paraId="012068E4"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  </w:t>
            </w:r>
          </w:p>
          <w:p w14:paraId="536496DE"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Como refuerzo de nuestra defensa, se sostiene que el artículo 12 de la Ley 1797 de 2016 le confiere una condición especial que amerita un trato diferente en los procesos </w:t>
            </w:r>
            <w:proofErr w:type="spellStart"/>
            <w:r w:rsidRPr="004E3939">
              <w:rPr>
                <w:rFonts w:ascii="Arial Narrow" w:hAnsi="Arial Narrow"/>
                <w:bCs/>
                <w:color w:val="000000" w:themeColor="text1"/>
              </w:rPr>
              <w:t>liquidatorios</w:t>
            </w:r>
            <w:proofErr w:type="spellEnd"/>
            <w:r w:rsidRPr="004E3939">
              <w:rPr>
                <w:rFonts w:ascii="Arial Narrow" w:hAnsi="Arial Narrow"/>
                <w:bCs/>
                <w:color w:val="000000" w:themeColor="text1"/>
              </w:rPr>
              <w:t xml:space="preserve"> de las EPS e IPS, pues establece que de manera previa a la graduación y calificación de créditos, se deben cubrir los recursos adeudados al FOSYGA hoy ADRES; lo anterior, teniendo en cuenta que los recursos que administra son parafiscales con destinación específica para la prestación de los servicios de salud de la población y con base en esto, es que la intervención de mi representada se rige por las leyes 1751 y 1753 de 2015 y los Decretos 780 y 1429 de 2016, por tanto, no resulta aplicables las disposiciones del Decreto 2555 de 2010, por lo que no está obligada a presentar reclamaciones como los demás acreedores. </w:t>
            </w:r>
          </w:p>
          <w:p w14:paraId="54FCAAA6"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 </w:t>
            </w:r>
          </w:p>
          <w:p w14:paraId="1406252F" w14:textId="10D1CA23" w:rsidR="00306B8E" w:rsidRDefault="004E3939" w:rsidP="00306B8E">
            <w:pPr>
              <w:ind w:left="476" w:right="567"/>
              <w:jc w:val="both"/>
              <w:rPr>
                <w:rFonts w:ascii="Arial Narrow" w:hAnsi="Arial Narrow"/>
                <w:bCs/>
                <w:color w:val="000000" w:themeColor="text1"/>
              </w:rPr>
            </w:pPr>
            <w:r w:rsidRPr="004E3939">
              <w:rPr>
                <w:rFonts w:ascii="Arial Narrow" w:hAnsi="Arial Narrow"/>
                <w:bCs/>
                <w:color w:val="000000" w:themeColor="text1"/>
              </w:rPr>
              <w:t xml:space="preserve">De lo anteriormente dicho, el Consejo de </w:t>
            </w:r>
            <w:r w:rsidR="00306B8E" w:rsidRPr="004E3939">
              <w:rPr>
                <w:rFonts w:ascii="Arial Narrow" w:hAnsi="Arial Narrow"/>
                <w:bCs/>
                <w:color w:val="000000" w:themeColor="text1"/>
              </w:rPr>
              <w:t>Estado estableció</w:t>
            </w:r>
            <w:r w:rsidRPr="004E3939">
              <w:rPr>
                <w:rFonts w:ascii="Arial Narrow" w:hAnsi="Arial Narrow"/>
                <w:bCs/>
                <w:color w:val="000000" w:themeColor="text1"/>
              </w:rPr>
              <w:t xml:space="preserve"> que antes de aplicar la referida prelación, el liquidador debe cubrir los recursos adeudado al FOSYGA o a la entidad que haga sus veces si fuera el caso y los recursos relacionados con los mecanismos de redistribución de riesgo</w:t>
            </w:r>
            <w:r w:rsidR="00306B8E">
              <w:rPr>
                <w:rFonts w:ascii="Arial Narrow" w:hAnsi="Arial Narrow"/>
                <w:bCs/>
                <w:color w:val="000000" w:themeColor="text1"/>
              </w:rPr>
              <w:t>, s</w:t>
            </w:r>
            <w:r w:rsidRPr="004E3939">
              <w:rPr>
                <w:rFonts w:ascii="Arial Narrow" w:hAnsi="Arial Narrow"/>
                <w:bCs/>
                <w:color w:val="000000" w:themeColor="text1"/>
              </w:rPr>
              <w:t xml:space="preserve">obre el particular </w:t>
            </w:r>
            <w:r w:rsidR="00306B8E">
              <w:rPr>
                <w:rFonts w:ascii="Arial Narrow" w:hAnsi="Arial Narrow"/>
                <w:bCs/>
                <w:color w:val="000000" w:themeColor="text1"/>
              </w:rPr>
              <w:t>indicó lo siguiente.</w:t>
            </w:r>
          </w:p>
          <w:p w14:paraId="3B6CB3FE" w14:textId="77777777" w:rsidR="00306B8E" w:rsidRPr="00306B8E" w:rsidRDefault="00306B8E" w:rsidP="00306B8E">
            <w:pPr>
              <w:ind w:left="1014" w:right="567"/>
              <w:jc w:val="both"/>
              <w:rPr>
                <w:rFonts w:ascii="Arial Narrow" w:hAnsi="Arial Narrow"/>
                <w:bCs/>
                <w:i/>
                <w:iCs/>
                <w:color w:val="000000" w:themeColor="text1"/>
                <w:sz w:val="20"/>
                <w:szCs w:val="20"/>
              </w:rPr>
            </w:pPr>
          </w:p>
          <w:p w14:paraId="07D171B7" w14:textId="30D0EA57" w:rsidR="004E3939" w:rsidRPr="00306B8E" w:rsidRDefault="00306B8E" w:rsidP="00306B8E">
            <w:pPr>
              <w:ind w:left="1014" w:right="567"/>
              <w:jc w:val="both"/>
              <w:rPr>
                <w:rFonts w:ascii="Arial Narrow" w:hAnsi="Arial Narrow"/>
                <w:bCs/>
                <w:i/>
                <w:iCs/>
                <w:color w:val="000000" w:themeColor="text1"/>
                <w:sz w:val="20"/>
                <w:szCs w:val="20"/>
              </w:rPr>
            </w:pPr>
            <w:r w:rsidRPr="00306B8E">
              <w:rPr>
                <w:rFonts w:ascii="Arial Narrow" w:hAnsi="Arial Narrow"/>
                <w:bCs/>
                <w:i/>
                <w:iCs/>
                <w:color w:val="000000" w:themeColor="text1"/>
                <w:sz w:val="20"/>
                <w:szCs w:val="20"/>
              </w:rPr>
              <w:t xml:space="preserve"> “</w:t>
            </w:r>
            <w:r w:rsidR="004E3939" w:rsidRPr="00306B8E">
              <w:rPr>
                <w:rFonts w:ascii="Arial Narrow" w:hAnsi="Arial Narrow"/>
                <w:bCs/>
                <w:i/>
                <w:iCs/>
                <w:color w:val="000000" w:themeColor="text1"/>
                <w:sz w:val="20"/>
                <w:szCs w:val="20"/>
              </w:rPr>
              <w:t xml:space="preserve">(…) de estas consideraciones, se concluye que la obligación impuesta al agente liquidador de las EPS, en el artículo 12 de la Ley 1797 de 2016, de cubrir los recursos adeudados al FOSYGA, hoy ADRES, antes de aplicar la prelación de créditos sobre la masa </w:t>
            </w:r>
            <w:proofErr w:type="spellStart"/>
            <w:r w:rsidR="004E3939" w:rsidRPr="00306B8E">
              <w:rPr>
                <w:rFonts w:ascii="Arial Narrow" w:hAnsi="Arial Narrow"/>
                <w:bCs/>
                <w:i/>
                <w:iCs/>
                <w:color w:val="000000" w:themeColor="text1"/>
                <w:sz w:val="20"/>
                <w:szCs w:val="20"/>
              </w:rPr>
              <w:t>liquidatoria</w:t>
            </w:r>
            <w:proofErr w:type="spellEnd"/>
            <w:r w:rsidR="004E3939" w:rsidRPr="00306B8E">
              <w:rPr>
                <w:rFonts w:ascii="Arial Narrow" w:hAnsi="Arial Narrow"/>
                <w:bCs/>
                <w:i/>
                <w:iCs/>
                <w:color w:val="000000" w:themeColor="text1"/>
                <w:sz w:val="20"/>
                <w:szCs w:val="20"/>
              </w:rPr>
              <w:t xml:space="preserve">, tiene su razón de ser en la naturaleza especial atribuida a los recursos del SGSSS y la exigencia de restituir estos recursos al sistema, antes de aplicar la prelación de créditos, de tal manera que no puedan ser destinados ni utilizados para fines diferentes a los cuales fueron destinados. </w:t>
            </w:r>
          </w:p>
          <w:p w14:paraId="09042B63" w14:textId="77777777" w:rsidR="004E3939" w:rsidRPr="00306B8E" w:rsidRDefault="004E3939" w:rsidP="00306B8E">
            <w:pPr>
              <w:ind w:left="1014" w:right="567"/>
              <w:jc w:val="both"/>
              <w:rPr>
                <w:rFonts w:ascii="Arial Narrow" w:hAnsi="Arial Narrow"/>
                <w:bCs/>
                <w:i/>
                <w:iCs/>
                <w:color w:val="000000" w:themeColor="text1"/>
                <w:sz w:val="20"/>
                <w:szCs w:val="20"/>
              </w:rPr>
            </w:pPr>
            <w:r w:rsidRPr="00306B8E">
              <w:rPr>
                <w:rFonts w:ascii="Arial Narrow" w:hAnsi="Arial Narrow"/>
                <w:bCs/>
                <w:i/>
                <w:iCs/>
                <w:color w:val="000000" w:themeColor="text1"/>
                <w:sz w:val="20"/>
                <w:szCs w:val="20"/>
              </w:rPr>
              <w:t xml:space="preserve"> </w:t>
            </w:r>
          </w:p>
          <w:p w14:paraId="00012765" w14:textId="1983E45A" w:rsidR="004E3939" w:rsidRPr="00306B8E" w:rsidRDefault="004E3939" w:rsidP="00306B8E">
            <w:pPr>
              <w:ind w:left="1014" w:right="567"/>
              <w:jc w:val="both"/>
              <w:rPr>
                <w:rFonts w:ascii="Arial Narrow" w:hAnsi="Arial Narrow"/>
                <w:bCs/>
                <w:i/>
                <w:iCs/>
                <w:color w:val="000000" w:themeColor="text1"/>
                <w:sz w:val="20"/>
                <w:szCs w:val="20"/>
              </w:rPr>
            </w:pPr>
            <w:r w:rsidRPr="00306B8E">
              <w:rPr>
                <w:rFonts w:ascii="Arial Narrow" w:hAnsi="Arial Narrow"/>
                <w:bCs/>
                <w:i/>
                <w:iCs/>
                <w:color w:val="000000" w:themeColor="text1"/>
                <w:sz w:val="20"/>
                <w:szCs w:val="20"/>
              </w:rPr>
              <w:t>En esta medida, la norma, en forma justificada, se aparta de los principios de universalidad jurídica e igualdad de los acreedores que gobiernan los procesos de liquidación, pues abre paso a un pago privilegiado de los recursos adeudados por la ADRES, dada su naturaleza, los cuales deben ser cubiertos antes de la constitución, liquidación y partición de la masa de liquidación. lo anterior, de conformidad con el imperativo constitucional de destinar estos recursos exclusivamente, para el fin al cual han sido reservados, esto es, la prestación de los recursos de salud.</w:t>
            </w:r>
            <w:r w:rsidR="00306B8E" w:rsidRPr="00306B8E">
              <w:rPr>
                <w:rFonts w:ascii="Arial Narrow" w:hAnsi="Arial Narrow"/>
                <w:bCs/>
                <w:i/>
                <w:iCs/>
                <w:color w:val="000000" w:themeColor="text1"/>
                <w:sz w:val="20"/>
                <w:szCs w:val="20"/>
              </w:rPr>
              <w:t>”</w:t>
            </w:r>
          </w:p>
          <w:p w14:paraId="47510A88"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 </w:t>
            </w:r>
          </w:p>
          <w:p w14:paraId="0B0DF022" w14:textId="77777777" w:rsid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Y concluye: </w:t>
            </w:r>
          </w:p>
          <w:p w14:paraId="458F9A1B" w14:textId="77777777" w:rsidR="00306B8E" w:rsidRPr="004E3939" w:rsidRDefault="00306B8E" w:rsidP="004E3939">
            <w:pPr>
              <w:ind w:left="476" w:right="567"/>
              <w:jc w:val="both"/>
              <w:rPr>
                <w:rFonts w:ascii="Arial Narrow" w:hAnsi="Arial Narrow"/>
                <w:bCs/>
                <w:color w:val="000000" w:themeColor="text1"/>
              </w:rPr>
            </w:pPr>
          </w:p>
          <w:p w14:paraId="213A3EB4" w14:textId="03B2DF3D" w:rsidR="004E3939" w:rsidRPr="00A235C5" w:rsidRDefault="00306B8E" w:rsidP="00A235C5">
            <w:pPr>
              <w:ind w:left="1014" w:right="567"/>
              <w:jc w:val="both"/>
              <w:rPr>
                <w:rFonts w:ascii="Arial Narrow" w:hAnsi="Arial Narrow"/>
                <w:bCs/>
                <w:i/>
                <w:iCs/>
                <w:color w:val="000000" w:themeColor="text1"/>
                <w:sz w:val="20"/>
                <w:szCs w:val="20"/>
              </w:rPr>
            </w:pPr>
            <w:r w:rsidRPr="00A235C5">
              <w:rPr>
                <w:rFonts w:ascii="Arial Narrow" w:hAnsi="Arial Narrow"/>
                <w:bCs/>
                <w:i/>
                <w:iCs/>
                <w:color w:val="000000" w:themeColor="text1"/>
                <w:sz w:val="20"/>
                <w:szCs w:val="20"/>
              </w:rPr>
              <w:t>«</w:t>
            </w:r>
            <w:r w:rsidR="004E3939" w:rsidRPr="00A235C5">
              <w:rPr>
                <w:rFonts w:ascii="Arial Narrow" w:hAnsi="Arial Narrow"/>
                <w:bCs/>
                <w:i/>
                <w:iCs/>
                <w:color w:val="000000" w:themeColor="text1"/>
                <w:sz w:val="20"/>
                <w:szCs w:val="20"/>
              </w:rPr>
              <w:t xml:space="preserve">(…) en este sentido, el artículo 12 de la Ley 1797 de 2016 y su respectiva reglamentación desplaza, para los procesos de liquidación de las EPS o IPS, las normas del Estatuto Orgánico del Sistema Financiera (sic) que podrían desvirtúa este imperativo legal. En especial y tal como se analiza a continuación, se aparta de las reglas relativas a la reclamación de las deudas ante el liquidador y a la compensación de deudas (…)”. </w:t>
            </w:r>
          </w:p>
          <w:p w14:paraId="52843EA1" w14:textId="77777777" w:rsidR="004E3939" w:rsidRPr="00A235C5" w:rsidRDefault="004E3939" w:rsidP="00A235C5">
            <w:pPr>
              <w:ind w:left="1014" w:right="567"/>
              <w:jc w:val="both"/>
              <w:rPr>
                <w:rFonts w:ascii="Arial Narrow" w:hAnsi="Arial Narrow"/>
                <w:bCs/>
                <w:i/>
                <w:iCs/>
                <w:color w:val="000000" w:themeColor="text1"/>
                <w:sz w:val="20"/>
                <w:szCs w:val="20"/>
              </w:rPr>
            </w:pPr>
            <w:r w:rsidRPr="00A235C5">
              <w:rPr>
                <w:rFonts w:ascii="Arial Narrow" w:hAnsi="Arial Narrow"/>
                <w:bCs/>
                <w:i/>
                <w:iCs/>
                <w:color w:val="000000" w:themeColor="text1"/>
                <w:sz w:val="20"/>
                <w:szCs w:val="20"/>
              </w:rPr>
              <w:t xml:space="preserve"> </w:t>
            </w:r>
          </w:p>
          <w:p w14:paraId="36638C04" w14:textId="77777777" w:rsidR="004E3939" w:rsidRPr="00A235C5" w:rsidRDefault="004E3939" w:rsidP="00A235C5">
            <w:pPr>
              <w:ind w:left="1014" w:right="567"/>
              <w:jc w:val="both"/>
              <w:rPr>
                <w:rFonts w:ascii="Arial Narrow" w:hAnsi="Arial Narrow"/>
                <w:bCs/>
                <w:i/>
                <w:iCs/>
                <w:color w:val="000000" w:themeColor="text1"/>
                <w:sz w:val="20"/>
                <w:szCs w:val="20"/>
              </w:rPr>
            </w:pPr>
            <w:r w:rsidRPr="00A235C5">
              <w:rPr>
                <w:rFonts w:ascii="Arial Narrow" w:hAnsi="Arial Narrow"/>
                <w:bCs/>
                <w:i/>
                <w:iCs/>
                <w:color w:val="000000" w:themeColor="text1"/>
                <w:sz w:val="20"/>
                <w:szCs w:val="20"/>
              </w:rPr>
              <w:t xml:space="preserve">(…) por lo tanto, si como resultado de estos procesos, al momento o antes de la apertura de la liquidación de la EPS, ya se han determinado, comunicado o notificado por parte de la ADRES, los recursos que deban ser transferidos o restituidos por las EPS a la entidad en virtud de los referidos procesos, no cabe duda que, con fundamento en lo dispuesto en el artículo 12 de la Ley 1797 de 2016, el liquidador está en la obligación de transferir los respectivos valores a la ADRES o realizar las correspondientes reservas, sin que medie requerimiento adicional por parte de la entidad (negrillas y subrayado fuera del texto original). </w:t>
            </w:r>
          </w:p>
          <w:p w14:paraId="23FF5404" w14:textId="77777777" w:rsidR="004E3939" w:rsidRPr="00A235C5" w:rsidRDefault="004E3939" w:rsidP="00A235C5">
            <w:pPr>
              <w:ind w:left="1014" w:right="567"/>
              <w:jc w:val="both"/>
              <w:rPr>
                <w:rFonts w:ascii="Arial Narrow" w:hAnsi="Arial Narrow"/>
                <w:bCs/>
                <w:i/>
                <w:iCs/>
                <w:color w:val="000000" w:themeColor="text1"/>
                <w:sz w:val="20"/>
                <w:szCs w:val="20"/>
              </w:rPr>
            </w:pPr>
            <w:r w:rsidRPr="00A235C5">
              <w:rPr>
                <w:rFonts w:ascii="Arial Narrow" w:hAnsi="Arial Narrow"/>
                <w:bCs/>
                <w:i/>
                <w:iCs/>
                <w:color w:val="000000" w:themeColor="text1"/>
                <w:sz w:val="20"/>
                <w:szCs w:val="20"/>
              </w:rPr>
              <w:t xml:space="preserve"> </w:t>
            </w:r>
          </w:p>
          <w:p w14:paraId="1546D9C6" w14:textId="40DDB8B2" w:rsidR="004E3939" w:rsidRPr="00A235C5" w:rsidRDefault="004E3939" w:rsidP="00A235C5">
            <w:pPr>
              <w:ind w:left="1014" w:right="567"/>
              <w:jc w:val="both"/>
              <w:rPr>
                <w:rFonts w:ascii="Arial Narrow" w:hAnsi="Arial Narrow"/>
                <w:bCs/>
                <w:i/>
                <w:iCs/>
                <w:color w:val="000000" w:themeColor="text1"/>
                <w:sz w:val="20"/>
                <w:szCs w:val="20"/>
              </w:rPr>
            </w:pPr>
            <w:r w:rsidRPr="00A235C5">
              <w:rPr>
                <w:rFonts w:ascii="Arial Narrow" w:hAnsi="Arial Narrow"/>
                <w:bCs/>
                <w:i/>
                <w:iCs/>
                <w:color w:val="000000" w:themeColor="text1"/>
                <w:sz w:val="20"/>
                <w:szCs w:val="20"/>
              </w:rPr>
              <w:t>Esto, no obsta para que, de no proceder el liquidador a la restitución de las respectivas deudas, de conformidad con el artículo 12 de la Ley 1797 de 2016, la ADRES, como administradora de los recursos del sistema y garante de su adecuado flujo entre sus actores, requiera al liquidador para que cumpla con su obligación. (…)”</w:t>
            </w:r>
            <w:r w:rsidR="00306B8E" w:rsidRPr="00A235C5">
              <w:rPr>
                <w:rFonts w:ascii="Arial Narrow" w:hAnsi="Arial Narrow"/>
                <w:bCs/>
                <w:i/>
                <w:iCs/>
                <w:color w:val="000000" w:themeColor="text1"/>
                <w:sz w:val="20"/>
                <w:szCs w:val="20"/>
              </w:rPr>
              <w:t>»</w:t>
            </w:r>
          </w:p>
          <w:p w14:paraId="5A1D3CDF" w14:textId="77777777" w:rsidR="004E3939" w:rsidRPr="00306B8E" w:rsidRDefault="004E3939" w:rsidP="004E3939">
            <w:pPr>
              <w:ind w:left="476" w:right="567"/>
              <w:jc w:val="both"/>
              <w:rPr>
                <w:rFonts w:ascii="Arial Narrow" w:hAnsi="Arial Narrow"/>
                <w:bCs/>
                <w:i/>
                <w:iCs/>
                <w:color w:val="000000" w:themeColor="text1"/>
              </w:rPr>
            </w:pPr>
            <w:r w:rsidRPr="00306B8E">
              <w:rPr>
                <w:rFonts w:ascii="Arial Narrow" w:hAnsi="Arial Narrow"/>
                <w:bCs/>
                <w:i/>
                <w:iCs/>
                <w:color w:val="000000" w:themeColor="text1"/>
              </w:rPr>
              <w:lastRenderedPageBreak/>
              <w:t xml:space="preserve"> </w:t>
            </w:r>
          </w:p>
          <w:p w14:paraId="2EB51CD7"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Como se puede observar, la posición de la ADRES al que hace mención el Consejo de Estado, no afecta el principio de igualdad de los acreedores, justamente porque el artículo 12 de la Ley 1797 de 2016 pone en una posición de privilegio, esto es, diferenciada de los demás intervinientes del proceso concursal y ante la existencia de norma especial que reconoce el derecho preferente, no es aplicable la disposición genérica del EOSF, que consagra el principio de igualdad de los acreedores, pues este regula acreencias de índole diferente al derecho del que es titular, como administradora de los recursos del sistema. </w:t>
            </w:r>
          </w:p>
          <w:p w14:paraId="7520382C" w14:textId="77777777" w:rsidR="004E3939" w:rsidRPr="004E3939" w:rsidRDefault="004E3939" w:rsidP="004E3939">
            <w:pPr>
              <w:ind w:left="476" w:right="567"/>
              <w:jc w:val="both"/>
              <w:rPr>
                <w:rFonts w:ascii="Arial Narrow" w:hAnsi="Arial Narrow"/>
                <w:bCs/>
                <w:color w:val="000000" w:themeColor="text1"/>
              </w:rPr>
            </w:pPr>
            <w:r w:rsidRPr="004E3939">
              <w:rPr>
                <w:rFonts w:ascii="Arial Narrow" w:hAnsi="Arial Narrow"/>
                <w:bCs/>
                <w:color w:val="000000" w:themeColor="text1"/>
              </w:rPr>
              <w:t xml:space="preserve"> </w:t>
            </w:r>
          </w:p>
          <w:p w14:paraId="3EB37C86" w14:textId="77777777" w:rsidR="00581ADE" w:rsidRDefault="00E94F5C" w:rsidP="00581ADE">
            <w:pPr>
              <w:ind w:left="476" w:right="567"/>
              <w:jc w:val="both"/>
              <w:rPr>
                <w:rFonts w:ascii="Arial Narrow" w:hAnsi="Arial Narrow"/>
                <w:bCs/>
                <w:color w:val="000000" w:themeColor="text1"/>
              </w:rPr>
            </w:pPr>
            <w:r>
              <w:rPr>
                <w:rFonts w:ascii="Arial Narrow" w:hAnsi="Arial Narrow"/>
                <w:bCs/>
                <w:color w:val="000000" w:themeColor="text1"/>
              </w:rPr>
              <w:t>De acuerdo con lo anterior,</w:t>
            </w:r>
            <w:r w:rsidR="004E3939" w:rsidRPr="004E3939">
              <w:rPr>
                <w:rFonts w:ascii="Arial Narrow" w:hAnsi="Arial Narrow"/>
                <w:bCs/>
                <w:color w:val="000000" w:themeColor="text1"/>
              </w:rPr>
              <w:t xml:space="preserve"> el Sistema General de Seguridad Social en Salud no es un acreedor en la liquidación, sino un titular de unos recursos que no es objeto de liquidación, por lo que no debe concurrir a la liquidación -aun cuando lo hizo en el presente caso-, para participar en la distribución a prorrata de los activos en las órdenes de prelación establecidos; pues se insiste, los recursos del sistema están destinados a la prestación de los servicios de salud que son un derecho colectivo, mientras que los derechos de los acreedores de la liquidación son recursos individualizados que están sometidos al riesgo ordinario del acreedor cuyo deudor incumple universalmente sus obligaciones. </w:t>
            </w:r>
          </w:p>
          <w:p w14:paraId="178258EB" w14:textId="77777777" w:rsidR="00581ADE" w:rsidRDefault="00581ADE" w:rsidP="00581ADE">
            <w:pPr>
              <w:ind w:left="476" w:right="567"/>
              <w:jc w:val="both"/>
              <w:rPr>
                <w:rFonts w:ascii="Arial Narrow" w:hAnsi="Arial Narrow"/>
                <w:bCs/>
                <w:color w:val="000000" w:themeColor="text1"/>
              </w:rPr>
            </w:pPr>
          </w:p>
          <w:p w14:paraId="75E1597E" w14:textId="30041728" w:rsidR="00581ADE" w:rsidRDefault="00581ADE" w:rsidP="00581ADE">
            <w:pPr>
              <w:ind w:left="476" w:right="567"/>
              <w:jc w:val="both"/>
              <w:rPr>
                <w:rFonts w:ascii="Arial Narrow" w:hAnsi="Arial Narrow"/>
                <w:bCs/>
                <w:color w:val="000000" w:themeColor="text1"/>
              </w:rPr>
            </w:pPr>
            <w:r>
              <w:rPr>
                <w:rFonts w:ascii="Arial Narrow" w:hAnsi="Arial Narrow"/>
                <w:b/>
                <w:color w:val="000000" w:themeColor="text1"/>
                <w:lang w:val="es-CO"/>
              </w:rPr>
              <w:t>7</w:t>
            </w:r>
            <w:r w:rsidR="004F2101" w:rsidRPr="007F2B6C">
              <w:rPr>
                <w:rFonts w:ascii="Arial Narrow" w:hAnsi="Arial Narrow"/>
                <w:b/>
                <w:color w:val="000000" w:themeColor="text1"/>
                <w:lang w:val="es-CO"/>
              </w:rPr>
              <w:t>.</w:t>
            </w:r>
            <w:r w:rsidR="00FA2AB2">
              <w:rPr>
                <w:rFonts w:ascii="Arial Narrow" w:hAnsi="Arial Narrow"/>
                <w:b/>
                <w:color w:val="000000" w:themeColor="text1"/>
                <w:lang w:val="es-CO"/>
              </w:rPr>
              <w:t>3</w:t>
            </w:r>
            <w:r w:rsidR="004F2101" w:rsidRPr="007F2B6C">
              <w:rPr>
                <w:rFonts w:ascii="Arial Narrow" w:hAnsi="Arial Narrow"/>
                <w:b/>
                <w:color w:val="000000" w:themeColor="text1"/>
                <w:lang w:val="es-CO"/>
              </w:rPr>
              <w:t>. Del</w:t>
            </w:r>
            <w:r w:rsidR="002027E0">
              <w:rPr>
                <w:rFonts w:ascii="Arial Narrow" w:hAnsi="Arial Narrow"/>
                <w:b/>
                <w:color w:val="000000" w:themeColor="text1"/>
                <w:lang w:val="es-CO"/>
              </w:rPr>
              <w:t xml:space="preserve"> concepto de violación.</w:t>
            </w:r>
          </w:p>
          <w:p w14:paraId="060198DD" w14:textId="77777777" w:rsidR="00581ADE" w:rsidRDefault="00581ADE" w:rsidP="00581ADE">
            <w:pPr>
              <w:ind w:left="476" w:right="567"/>
              <w:jc w:val="both"/>
              <w:rPr>
                <w:rFonts w:ascii="Arial Narrow" w:hAnsi="Arial Narrow"/>
                <w:bCs/>
                <w:color w:val="000000" w:themeColor="text1"/>
              </w:rPr>
            </w:pPr>
          </w:p>
          <w:p w14:paraId="24073919" w14:textId="77777777" w:rsidR="00581ADE" w:rsidRDefault="00581ADE" w:rsidP="00581ADE">
            <w:pPr>
              <w:ind w:left="476" w:right="567"/>
              <w:jc w:val="both"/>
              <w:rPr>
                <w:rFonts w:ascii="Arial Narrow" w:hAnsi="Arial Narrow"/>
                <w:bCs/>
                <w:color w:val="000000" w:themeColor="text1"/>
                <w:lang w:val="es-CO"/>
              </w:rPr>
            </w:pPr>
            <w:r w:rsidRPr="00581ADE">
              <w:rPr>
                <w:rFonts w:ascii="Arial Narrow" w:hAnsi="Arial Narrow"/>
                <w:bCs/>
                <w:color w:val="000000" w:themeColor="text1"/>
                <w:lang w:val="es-CO"/>
              </w:rPr>
              <w:t>La A</w:t>
            </w:r>
            <w:r>
              <w:rPr>
                <w:rFonts w:ascii="Arial Narrow" w:hAnsi="Arial Narrow"/>
                <w:bCs/>
                <w:color w:val="000000" w:themeColor="text1"/>
                <w:lang w:val="es-CO"/>
              </w:rPr>
              <w:t xml:space="preserve">DRES </w:t>
            </w:r>
            <w:r w:rsidRPr="00581ADE">
              <w:rPr>
                <w:rFonts w:ascii="Arial Narrow" w:hAnsi="Arial Narrow"/>
                <w:bCs/>
                <w:color w:val="000000" w:themeColor="text1"/>
                <w:lang w:val="es-CO"/>
              </w:rPr>
              <w:t>demanda la nulidad de las</w:t>
            </w:r>
            <w:r>
              <w:rPr>
                <w:rFonts w:ascii="Arial Narrow" w:hAnsi="Arial Narrow"/>
                <w:bCs/>
                <w:color w:val="000000" w:themeColor="text1"/>
                <w:lang w:val="es-CO"/>
              </w:rPr>
              <w:t xml:space="preserve"> </w:t>
            </w:r>
            <w:r w:rsidRPr="00581ADE">
              <w:rPr>
                <w:rFonts w:ascii="Arial Narrow" w:hAnsi="Arial Narrow"/>
                <w:bCs/>
                <w:color w:val="000000" w:themeColor="text1"/>
                <w:lang w:val="es-CO"/>
              </w:rPr>
              <w:t>Resoluci</w:t>
            </w:r>
            <w:r>
              <w:rPr>
                <w:rFonts w:ascii="Arial Narrow" w:hAnsi="Arial Narrow"/>
                <w:bCs/>
                <w:color w:val="000000" w:themeColor="text1"/>
                <w:lang w:val="es-CO"/>
              </w:rPr>
              <w:t xml:space="preserve">ones </w:t>
            </w:r>
            <w:r w:rsidRPr="00581ADE">
              <w:rPr>
                <w:rFonts w:ascii="Arial Narrow" w:hAnsi="Arial Narrow"/>
                <w:bCs/>
                <w:color w:val="000000" w:themeColor="text1"/>
                <w:lang w:val="es-CO"/>
              </w:rPr>
              <w:t>No. A-007549 del 25 de octubre de 2022</w:t>
            </w:r>
            <w:r>
              <w:rPr>
                <w:rFonts w:ascii="Arial Narrow" w:hAnsi="Arial Narrow"/>
                <w:bCs/>
                <w:color w:val="000000" w:themeColor="text1"/>
                <w:lang w:val="es-CO"/>
              </w:rPr>
              <w:t xml:space="preserve"> y la </w:t>
            </w:r>
            <w:r w:rsidRPr="00581ADE">
              <w:rPr>
                <w:rFonts w:ascii="Arial Narrow" w:hAnsi="Arial Narrow"/>
                <w:bCs/>
                <w:color w:val="000000" w:themeColor="text1"/>
                <w:lang w:val="es-CO"/>
              </w:rPr>
              <w:t xml:space="preserve">No. 009593 del 22 de diciembre de 2022, expedidas por el agente liquidador de </w:t>
            </w:r>
            <w:r>
              <w:rPr>
                <w:rFonts w:ascii="Arial Narrow" w:hAnsi="Arial Narrow"/>
                <w:bCs/>
                <w:color w:val="000000" w:themeColor="text1"/>
                <w:lang w:val="es-CO"/>
              </w:rPr>
              <w:t>COOMEVA EPS LIQUIDADA</w:t>
            </w:r>
            <w:r w:rsidRPr="00581ADE">
              <w:rPr>
                <w:rFonts w:ascii="Arial Narrow" w:hAnsi="Arial Narrow"/>
                <w:bCs/>
                <w:color w:val="000000" w:themeColor="text1"/>
                <w:lang w:val="es-CO"/>
              </w:rPr>
              <w:t>, bajo el argumento de que estas decisiones desconocieron el marco normativo aplicable al no excluir y reintegrar a la ADRES los recursos destinados al Sistema General de Seguridad Social en Salud (SGSSS).</w:t>
            </w:r>
          </w:p>
          <w:p w14:paraId="093DEE4D" w14:textId="77777777" w:rsidR="00581ADE" w:rsidRDefault="00581ADE" w:rsidP="00581ADE">
            <w:pPr>
              <w:ind w:left="476" w:right="567"/>
              <w:jc w:val="both"/>
              <w:rPr>
                <w:rFonts w:ascii="Arial Narrow" w:hAnsi="Arial Narrow"/>
                <w:bCs/>
                <w:color w:val="000000" w:themeColor="text1"/>
                <w:lang w:val="es-CO"/>
              </w:rPr>
            </w:pPr>
          </w:p>
          <w:p w14:paraId="207496D3" w14:textId="442637F8" w:rsidR="00581ADE" w:rsidRDefault="00581ADE" w:rsidP="00581ADE">
            <w:pPr>
              <w:ind w:left="476" w:right="567"/>
              <w:jc w:val="both"/>
              <w:rPr>
                <w:rFonts w:ascii="Arial Narrow" w:hAnsi="Arial Narrow"/>
                <w:bCs/>
                <w:color w:val="000000" w:themeColor="text1"/>
                <w:lang w:val="es-CO"/>
              </w:rPr>
            </w:pPr>
            <w:r w:rsidRPr="00581ADE">
              <w:rPr>
                <w:rFonts w:ascii="Arial Narrow" w:hAnsi="Arial Narrow"/>
                <w:bCs/>
                <w:color w:val="000000" w:themeColor="text1"/>
                <w:lang w:val="es-CO"/>
              </w:rPr>
              <w:t>El concepto de la violación se estructura sobre cuatro puntos fundamentales: (1) inaplicación de la prelación de créditos y omisión en la exclusión de los recursos de salud, (2) falta de motivación suficiente y desconocimiento de la destinación específica de los recursos, (3) afectación del equilibrio financiero del SGSSS, y (4) configuración de un acto administrativo ilegal y contrario a los principios constitucionales.</w:t>
            </w:r>
          </w:p>
          <w:p w14:paraId="484748F0" w14:textId="77777777" w:rsidR="009D263D" w:rsidRDefault="009D263D" w:rsidP="00581ADE">
            <w:pPr>
              <w:ind w:left="476" w:right="567"/>
              <w:jc w:val="both"/>
              <w:rPr>
                <w:rFonts w:ascii="Arial Narrow" w:hAnsi="Arial Narrow"/>
                <w:bCs/>
                <w:color w:val="000000" w:themeColor="text1"/>
                <w:lang w:val="es-CO"/>
              </w:rPr>
            </w:pPr>
          </w:p>
          <w:p w14:paraId="2B2FB5F7"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r w:rsidRPr="009D263D">
              <w:rPr>
                <w:rFonts w:ascii="Arial Narrow" w:hAnsi="Arial Narrow"/>
                <w:b/>
                <w:bCs/>
                <w:color w:val="000000" w:themeColor="text1"/>
                <w:lang w:val="es-CO"/>
              </w:rPr>
              <w:t xml:space="preserve">Procedimiento de liquidación forzosa de Entidades Promotoras de Servicios de Salud-EPS  </w:t>
            </w:r>
          </w:p>
          <w:p w14:paraId="6064A024"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0F607600" w14:textId="7C653CDF"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El Estado tiene la atribución de establecer procedimientos y reglas para la intervención técnica y/o administrativa de las instituciones que manejan recursos del Sistema General de Seguridad Social en Salud por parte de la Superintendencia Nacional de Salud, de conformidad con la Ley 715 de 200</w:t>
            </w:r>
            <w:r>
              <w:rPr>
                <w:rFonts w:ascii="Arial Narrow" w:hAnsi="Arial Narrow"/>
                <w:bCs/>
                <w:color w:val="000000" w:themeColor="text1"/>
                <w:lang w:val="es-CO"/>
              </w:rPr>
              <w:t>1</w:t>
            </w:r>
            <w:r w:rsidRPr="009D263D">
              <w:rPr>
                <w:rFonts w:ascii="Arial Narrow" w:hAnsi="Arial Narrow"/>
                <w:bCs/>
                <w:color w:val="000000" w:themeColor="text1"/>
                <w:lang w:val="es-CO"/>
              </w:rPr>
              <w:t xml:space="preserve">.  </w:t>
            </w:r>
          </w:p>
          <w:p w14:paraId="029B8737"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2A007046" w14:textId="77777777" w:rsid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La Ley 100 de 1993 en el parágrafo 2 de su artículo 233, establece que el procedimiento administrativo a cargo de la Superintendencia Nacional de Salud será el mismo que rige para la Superintendencia Financiera de Colombia, por lo cual se debe aplicar a los procesos de liquidación forzosa de EPS las normas de procedimiento previstas en el Estatuto Orgánico del Sistema Financiero, y demás normas que modifican y complementan el EOSF; en consecuencia, el proceso </w:t>
            </w:r>
            <w:proofErr w:type="spellStart"/>
            <w:r w:rsidRPr="009D263D">
              <w:rPr>
                <w:rFonts w:ascii="Arial Narrow" w:hAnsi="Arial Narrow"/>
                <w:bCs/>
                <w:color w:val="000000" w:themeColor="text1"/>
                <w:lang w:val="es-CO"/>
              </w:rPr>
              <w:t>liquidatorio</w:t>
            </w:r>
            <w:proofErr w:type="spellEnd"/>
            <w:r w:rsidRPr="009D263D">
              <w:rPr>
                <w:rFonts w:ascii="Arial Narrow" w:hAnsi="Arial Narrow"/>
                <w:bCs/>
                <w:color w:val="000000" w:themeColor="text1"/>
                <w:lang w:val="es-CO"/>
              </w:rPr>
              <w:t xml:space="preserve"> de las EPS e IPS es un procedimiento reglado, especial y preferente. Estas normas establecen la forma en la que debe efectuarse la devolución de bienes que no pertenecen a la entidad en liquidación, así como la forma en que se han de pagar las acreencias con cargo a la masa patrimonial en liquidación. </w:t>
            </w:r>
          </w:p>
          <w:p w14:paraId="4624D802" w14:textId="77777777" w:rsidR="009D263D" w:rsidRDefault="009D263D" w:rsidP="009D263D">
            <w:pPr>
              <w:ind w:left="476" w:right="567"/>
              <w:jc w:val="both"/>
              <w:rPr>
                <w:rFonts w:ascii="Arial Narrow" w:hAnsi="Arial Narrow"/>
                <w:bCs/>
                <w:color w:val="000000" w:themeColor="text1"/>
                <w:lang w:val="es-CO"/>
              </w:rPr>
            </w:pPr>
          </w:p>
          <w:p w14:paraId="48ADE777" w14:textId="2EA0491B" w:rsidR="009D263D" w:rsidRPr="009D263D" w:rsidRDefault="009D263D" w:rsidP="009D263D">
            <w:pPr>
              <w:ind w:left="476" w:right="567"/>
              <w:jc w:val="both"/>
              <w:rPr>
                <w:rFonts w:ascii="Arial Narrow" w:hAnsi="Arial Narrow"/>
                <w:bCs/>
                <w:color w:val="000000" w:themeColor="text1"/>
                <w:lang w:val="es-CO"/>
              </w:rPr>
            </w:pPr>
            <w:r>
              <w:rPr>
                <w:rFonts w:ascii="Arial Narrow" w:hAnsi="Arial Narrow"/>
                <w:bCs/>
                <w:color w:val="000000" w:themeColor="text1"/>
                <w:lang w:val="es-CO"/>
              </w:rPr>
              <w:t>De otra parte, el</w:t>
            </w:r>
            <w:r w:rsidRPr="009D263D">
              <w:rPr>
                <w:rFonts w:ascii="Arial Narrow" w:hAnsi="Arial Narrow"/>
                <w:bCs/>
                <w:color w:val="000000" w:themeColor="text1"/>
                <w:lang w:val="es-CO"/>
              </w:rPr>
              <w:t xml:space="preserve"> artículo 129 de la Ley 1438 de 2011 contempló lo siguiente: </w:t>
            </w:r>
          </w:p>
          <w:p w14:paraId="52959B44"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50727424" w14:textId="77777777" w:rsidR="009D263D" w:rsidRPr="009D263D" w:rsidRDefault="009D263D" w:rsidP="009D263D">
            <w:pPr>
              <w:ind w:left="1014"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w:t>
            </w:r>
            <w:r w:rsidRPr="009D263D">
              <w:rPr>
                <w:rFonts w:ascii="Arial Narrow" w:hAnsi="Arial Narrow"/>
                <w:b/>
                <w:bCs/>
                <w:i/>
                <w:color w:val="000000" w:themeColor="text1"/>
                <w:sz w:val="20"/>
                <w:szCs w:val="20"/>
                <w:lang w:val="es-CO"/>
              </w:rPr>
              <w:t>ARTÍCULO 129. NORMAS DE PROCEDIMIENTO INTERVENCIÓN FORZOSA ADMINISTRATIVA</w:t>
            </w:r>
            <w:r w:rsidRPr="009D263D">
              <w:rPr>
                <w:rFonts w:ascii="Arial Narrow" w:hAnsi="Arial Narrow"/>
                <w:bCs/>
                <w:i/>
                <w:color w:val="000000" w:themeColor="text1"/>
                <w:sz w:val="20"/>
                <w:szCs w:val="20"/>
                <w:lang w:val="es-CO"/>
              </w:rPr>
              <w:t>. El Gobierno Nacional reglamentará las normas de procedimiento a aplicar por parte de la Superintendencia Nacional de Salud en los procesos de intervención forzosa administrativa para administrar o liquidar las entidades vigiladas que cumplan funciones de explotación, administración u operación de monopolios rentísticos cedidos al sector salud, Entidades Promotoras de Salud, las Instituciones Prestadoras de Salud de cualquier naturaleza, así como para intervenir técnica y administrativamente las direcciones territoriales de salud cualquiera sea la denominación que le otorgue el ente territorial en los términos de la ley y los reglamentos”.</w:t>
            </w:r>
            <w:r w:rsidRPr="009D263D">
              <w:rPr>
                <w:rFonts w:ascii="Arial Narrow" w:hAnsi="Arial Narrow"/>
                <w:bCs/>
                <w:color w:val="000000" w:themeColor="text1"/>
                <w:sz w:val="20"/>
                <w:szCs w:val="20"/>
                <w:lang w:val="es-CO"/>
              </w:rPr>
              <w:t xml:space="preserve"> </w:t>
            </w:r>
          </w:p>
          <w:p w14:paraId="51DE6D42"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5D125132"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De este modo, el artículo 2.5.5.1.1 del Decreto 780 de 2016 dispuso qué normas serían aplicables a los procesos de </w:t>
            </w:r>
            <w:r w:rsidRPr="009D263D">
              <w:rPr>
                <w:rFonts w:ascii="Arial Narrow" w:hAnsi="Arial Narrow"/>
                <w:bCs/>
                <w:color w:val="000000" w:themeColor="text1"/>
                <w:lang w:val="es-CO"/>
              </w:rPr>
              <w:lastRenderedPageBreak/>
              <w:t xml:space="preserve">intervención forzosa administrativa por parte de la Superintendencia Nacional de Salud, así:  </w:t>
            </w:r>
          </w:p>
          <w:p w14:paraId="22C1CB4D"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7FA0FE2B" w14:textId="77777777" w:rsidR="009D263D" w:rsidRPr="009D263D" w:rsidRDefault="009D263D" w:rsidP="009D263D">
            <w:pPr>
              <w:ind w:left="1014"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w:t>
            </w:r>
            <w:r w:rsidRPr="009D263D">
              <w:rPr>
                <w:rFonts w:ascii="Arial Narrow" w:hAnsi="Arial Narrow"/>
                <w:b/>
                <w:bCs/>
                <w:i/>
                <w:color w:val="000000" w:themeColor="text1"/>
                <w:sz w:val="20"/>
                <w:szCs w:val="20"/>
                <w:lang w:val="es-CO"/>
              </w:rPr>
              <w:t>ARTÍCULO 2.5.5.1.1.</w:t>
            </w:r>
            <w:r w:rsidRPr="009D263D">
              <w:rPr>
                <w:rFonts w:ascii="Arial Narrow" w:hAnsi="Arial Narrow"/>
                <w:bCs/>
                <w:i/>
                <w:color w:val="000000" w:themeColor="text1"/>
                <w:sz w:val="20"/>
                <w:szCs w:val="20"/>
                <w:lang w:val="es-CO"/>
              </w:rPr>
              <w:t xml:space="preserve"> De conformidad con lo dispuesto en el artículo 68 de la Ley 715 de 2001, la Superintendencia Nacional de Salud aplicará en los procesos de intervención forzosa administrativa, para administrar o para liquidar las entidades vigiladas que cumplan funciones de explotación u operación de monopolios rentísticos cedidos al sector salud, Empresas Promotoras de Salud e Instituciones Prestadoras de Salud de cualquier naturaleza, así como en los de intervención técnica y administrativa de las Direcciones Territoriales de Salud, </w:t>
            </w:r>
            <w:r w:rsidRPr="009D263D">
              <w:rPr>
                <w:rFonts w:ascii="Arial Narrow" w:hAnsi="Arial Narrow"/>
                <w:b/>
                <w:bCs/>
                <w:i/>
                <w:color w:val="000000" w:themeColor="text1"/>
                <w:sz w:val="20"/>
                <w:szCs w:val="20"/>
                <w:lang w:val="es-CO"/>
              </w:rPr>
              <w:t>las normas de procedimiento previstas en el artículo 116 del Decreto-ley 663 de 1993, la Ley 510 de 1999, y demás disposiciones que lo modifican y desarrollan. (Artículo 1° del Decreto 1015 de 2002</w:t>
            </w:r>
            <w:r w:rsidRPr="009D263D">
              <w:rPr>
                <w:rFonts w:ascii="Arial Narrow" w:hAnsi="Arial Narrow"/>
                <w:bCs/>
                <w:i/>
                <w:color w:val="000000" w:themeColor="text1"/>
                <w:sz w:val="20"/>
                <w:szCs w:val="20"/>
                <w:lang w:val="es-CO"/>
              </w:rPr>
              <w:t>)”</w:t>
            </w:r>
            <w:r w:rsidRPr="009D263D">
              <w:rPr>
                <w:rFonts w:ascii="Arial Narrow" w:hAnsi="Arial Narrow"/>
                <w:bCs/>
                <w:color w:val="000000" w:themeColor="text1"/>
                <w:sz w:val="20"/>
                <w:szCs w:val="20"/>
                <w:lang w:val="es-CO"/>
              </w:rPr>
              <w:t xml:space="preserve"> </w:t>
            </w:r>
          </w:p>
          <w:p w14:paraId="5E43B679"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02E67873" w14:textId="77777777" w:rsid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El proceso de liquidación forzosa administrativa es concursal y universal, tiene por finalidad esencial la pronta realización de los activos y el pago gradual y rápido del pasivo externo a cargo de la respectiva entidad hasta la concurrencia de sus activos, preservando la igualdad entre los acreedores sin perjuicio de las disposiciones legales que confieren privilegios de exclusión y preferencia a determinada clase de créditos</w:t>
            </w:r>
            <w:r w:rsidRPr="009D263D">
              <w:rPr>
                <w:rFonts w:ascii="Arial Narrow" w:hAnsi="Arial Narrow"/>
                <w:bCs/>
                <w:color w:val="000000" w:themeColor="text1"/>
                <w:vertAlign w:val="superscript"/>
                <w:lang w:val="es-CO"/>
              </w:rPr>
              <w:footnoteReference w:id="7"/>
            </w:r>
            <w:r w:rsidRPr="009D263D">
              <w:rPr>
                <w:rFonts w:ascii="Arial Narrow" w:hAnsi="Arial Narrow"/>
                <w:bCs/>
                <w:color w:val="000000" w:themeColor="text1"/>
                <w:lang w:val="es-CO"/>
              </w:rPr>
              <w:t>.</w:t>
            </w:r>
          </w:p>
          <w:p w14:paraId="5AE00717" w14:textId="77777777" w:rsidR="009D263D" w:rsidRDefault="009D263D" w:rsidP="009D263D">
            <w:pPr>
              <w:ind w:left="476" w:right="567"/>
              <w:jc w:val="both"/>
              <w:rPr>
                <w:rFonts w:ascii="Arial Narrow" w:hAnsi="Arial Narrow"/>
                <w:bCs/>
                <w:color w:val="000000" w:themeColor="text1"/>
                <w:lang w:val="es-CO"/>
              </w:rPr>
            </w:pPr>
          </w:p>
          <w:p w14:paraId="50E63A66" w14:textId="1D6294AB"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Al respecto el artículo 300 del EOSF</w:t>
            </w:r>
            <w:r w:rsidRPr="009D263D">
              <w:rPr>
                <w:rFonts w:ascii="Arial Narrow" w:hAnsi="Arial Narrow"/>
                <w:bCs/>
                <w:color w:val="000000" w:themeColor="text1"/>
                <w:vertAlign w:val="superscript"/>
                <w:lang w:val="es-CO"/>
              </w:rPr>
              <w:t>10</w:t>
            </w:r>
            <w:r w:rsidRPr="009D263D">
              <w:rPr>
                <w:rFonts w:ascii="Arial Narrow" w:hAnsi="Arial Narrow"/>
                <w:bCs/>
                <w:color w:val="000000" w:themeColor="text1"/>
                <w:lang w:val="es-CO"/>
              </w:rPr>
              <w:t xml:space="preserve"> prevé que en caso de liquidación los créditos serán pagados en atención al orden establecido por la ley. La graduación y calificación de acreencias de las entidades de salud se guía por los lineamientos del Decreto Ley 663 de 1993, el Decreto 2555 de 2010 y demás normas concordantes.  </w:t>
            </w:r>
          </w:p>
          <w:p w14:paraId="2B5B2BFB"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63B2F640" w14:textId="098986D7" w:rsidR="009D263D" w:rsidRPr="009D263D" w:rsidRDefault="009D263D" w:rsidP="009D263D">
            <w:pPr>
              <w:ind w:left="476" w:right="567"/>
              <w:jc w:val="both"/>
              <w:rPr>
                <w:rFonts w:ascii="Arial Narrow" w:hAnsi="Arial Narrow"/>
                <w:bCs/>
                <w:color w:val="000000" w:themeColor="text1"/>
                <w:lang w:val="es-CO"/>
              </w:rPr>
            </w:pPr>
            <w:r>
              <w:rPr>
                <w:rFonts w:ascii="Arial Narrow" w:hAnsi="Arial Narrow"/>
                <w:bCs/>
                <w:color w:val="000000" w:themeColor="text1"/>
                <w:lang w:val="es-CO"/>
              </w:rPr>
              <w:t>En el</w:t>
            </w:r>
            <w:r w:rsidRPr="009D263D">
              <w:rPr>
                <w:rFonts w:ascii="Arial Narrow" w:hAnsi="Arial Narrow"/>
                <w:bCs/>
                <w:color w:val="000000" w:themeColor="text1"/>
                <w:lang w:val="es-CO"/>
              </w:rPr>
              <w:t xml:space="preserve"> proceso </w:t>
            </w:r>
            <w:proofErr w:type="spellStart"/>
            <w:r w:rsidRPr="009D263D">
              <w:rPr>
                <w:rFonts w:ascii="Arial Narrow" w:hAnsi="Arial Narrow"/>
                <w:bCs/>
                <w:color w:val="000000" w:themeColor="text1"/>
                <w:lang w:val="es-CO"/>
              </w:rPr>
              <w:t>liquidatorio</w:t>
            </w:r>
            <w:proofErr w:type="spellEnd"/>
            <w:r>
              <w:rPr>
                <w:rFonts w:ascii="Arial Narrow" w:hAnsi="Arial Narrow"/>
                <w:bCs/>
                <w:color w:val="000000" w:themeColor="text1"/>
                <w:lang w:val="es-CO"/>
              </w:rPr>
              <w:t>,</w:t>
            </w:r>
            <w:r w:rsidRPr="009D263D">
              <w:rPr>
                <w:rFonts w:ascii="Arial Narrow" w:hAnsi="Arial Narrow"/>
                <w:bCs/>
                <w:color w:val="000000" w:themeColor="text1"/>
                <w:lang w:val="es-CO"/>
              </w:rPr>
              <w:t xml:space="preserve"> el pasivo a cargo de la institución en liquidación se determina de conformidad con el Decreto 2555 de 2010 que a partir de su artículo 9.1.3.2.1., prevé el emplazamiento de todas las personas jurídicas públicas o privadas que consideren tener derecho a formular reclamaciones de pago ante la intervenida, para lo cual deberán aportar prueba sumaria de los créditos. </w:t>
            </w:r>
          </w:p>
          <w:p w14:paraId="639DECAF"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3C8DE3F2"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El emplazamiento incluirá el término para presentar las reclamaciones en forma oportuna, de manera que con el emplazamiento se advierte que una vez vencido este término el liquidador no tendrá facultad de aceptar ninguna reclamación, y que las reclamaciones presentadas en forma extemporánea, al igual que las obligaciones no reclamadas, serán calificadas como pasivo cierto no reclamado.  </w:t>
            </w:r>
          </w:p>
          <w:p w14:paraId="2A6E83BF"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6CC0FF24"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Una vez vencido el plazo para presentar reclamaciones, se correrá traslado a los interesados por un término de cinco días hábiles, para que los interesados puedan objetar las reclamaciones presentadas (artículo 9.1.3.2.3 Decreto 2555 de 2010). Culminada esta etapa, el liquidador determinará las sumas y bienes excluidos, y los créditos a cargo de la masa de liquidación de la entidad. Para ello, dentro de los treinta días hábiles siguientes al vencimiento del término para presentar reclamaciones, el liquidador resolverá las reclamaciones oportunamente presentadas, aceptadas y rechazadas contra la masa de la liquidación, señalando la naturaleza de las mismas, su cuantía y la prelación para el pago y las preferencias que la ley establece, de conformidad con el numeral 1 del artículo 300 del Estatuto Orgánico del Sistema Financiero, las reglas generales del Código Civil y demás disposiciones legales aplicables. </w:t>
            </w:r>
          </w:p>
          <w:p w14:paraId="4308F03B"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7ED8A02D" w14:textId="77777777" w:rsid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Dicha decisión es adoptada mediante acto administrativo motivado y notificada, contra la resolución que determina las sumas y bienes excluidos de la masa patrimonial en liquidación, así como los créditos a cargo de esta, procede recurso de reposición; de los recursos presentados, se correrá el traslado correspondiente a la entidad durante los cinco días siguientes al vencimiento de término de presentación. Una vez notificadas las resoluciones que resuelven los recursos y ejecutoriado el acto mediante el cual se decidió sobre las sumas y bienes excluidos, y se determinaron los créditos a cargo de la masa de la institución en liquidación, se procede a su cumplimiento de forma inmediata. </w:t>
            </w:r>
          </w:p>
          <w:p w14:paraId="4416E2BA" w14:textId="77777777" w:rsidR="009D263D" w:rsidRDefault="009D263D" w:rsidP="009D263D">
            <w:pPr>
              <w:ind w:left="476" w:right="567"/>
              <w:jc w:val="both"/>
              <w:rPr>
                <w:rFonts w:ascii="Arial Narrow" w:hAnsi="Arial Narrow"/>
                <w:bCs/>
                <w:color w:val="000000" w:themeColor="text1"/>
                <w:lang w:val="es-CO"/>
              </w:rPr>
            </w:pPr>
          </w:p>
          <w:p w14:paraId="3CC8294D" w14:textId="5785D3B0"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Las normas que rigen el proceso </w:t>
            </w:r>
            <w:proofErr w:type="spellStart"/>
            <w:r w:rsidRPr="009D263D">
              <w:rPr>
                <w:rFonts w:ascii="Arial Narrow" w:hAnsi="Arial Narrow"/>
                <w:bCs/>
                <w:color w:val="000000" w:themeColor="text1"/>
                <w:lang w:val="es-CO"/>
              </w:rPr>
              <w:t>liquidatorio</w:t>
            </w:r>
            <w:proofErr w:type="spellEnd"/>
            <w:r w:rsidRPr="009D263D">
              <w:rPr>
                <w:rFonts w:ascii="Arial Narrow" w:hAnsi="Arial Narrow"/>
                <w:bCs/>
                <w:color w:val="000000" w:themeColor="text1"/>
                <w:lang w:val="es-CO"/>
              </w:rPr>
              <w:t xml:space="preserve"> establecen los requisitos que los acreedores deben cumplir para reclamar a la entidad en liquidación su crédito insoluto, al igual que las condiciones bajo las cuales dicha obligación es reconocida y calificada para su pago. </w:t>
            </w:r>
          </w:p>
          <w:p w14:paraId="65E55566"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2A0A0F82"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lastRenderedPageBreak/>
              <w:tab/>
              <w:t xml:space="preserve">• </w:t>
            </w:r>
            <w:r w:rsidRPr="009D263D">
              <w:rPr>
                <w:rFonts w:ascii="Arial Narrow" w:hAnsi="Arial Narrow"/>
                <w:bCs/>
                <w:color w:val="000000" w:themeColor="text1"/>
                <w:lang w:val="es-CO"/>
              </w:rPr>
              <w:tab/>
            </w:r>
            <w:r w:rsidRPr="009D263D">
              <w:rPr>
                <w:rFonts w:ascii="Arial Narrow" w:hAnsi="Arial Narrow"/>
                <w:b/>
                <w:bCs/>
                <w:color w:val="000000" w:themeColor="text1"/>
                <w:lang w:val="es-CO"/>
              </w:rPr>
              <w:t xml:space="preserve">La prelación de créditos. </w:t>
            </w:r>
          </w:p>
          <w:p w14:paraId="5F01C5D1"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620EC9BA"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Conforme a la Sentencia C-664/06 la prelación de créditos es una institución civil de carácter sustancial que determina el orden en el cual han de ser pagadas las obligaciones dinerarias del deudor a cada uno de sus acreedores, cuando estos reclaman el respectivo pago en un mismo proceso. De este modo, el acreedor goza del privilegio de obtener el pago de su crédito con preferencia sobre otros acreedores. </w:t>
            </w:r>
          </w:p>
          <w:p w14:paraId="6C5DC680"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649505D9"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A la vez, la Sentencia STC9388-2016 del 8 de julio de 2016 de la Corte Suprema de Justicia, precisa que la prelación de créditos “</w:t>
            </w:r>
            <w:r w:rsidRPr="009D263D">
              <w:rPr>
                <w:rFonts w:ascii="Arial Narrow" w:hAnsi="Arial Narrow"/>
                <w:bCs/>
                <w:i/>
                <w:color w:val="000000" w:themeColor="text1"/>
                <w:lang w:val="es-CO"/>
              </w:rPr>
              <w:t>consiste en una graduación de los mismos efectuada por el legislador, que corresponde al juez aplicarla en los procesos judiciales y cuya finalidad es cumplir con el pago efectivo de las obligaciones a cargo del deudor, en el orden de preferencia establecido, de tal suerte que si obligaciones pecuniarias del deudor frente a diferentes acreedores no pueden ser cumplidas con los bienes existentes, se pagarán hasta donde sea posible y de acuerdo con el orden fijado por la ley</w:t>
            </w:r>
            <w:r w:rsidRPr="009D263D">
              <w:rPr>
                <w:rFonts w:ascii="Arial Narrow" w:hAnsi="Arial Narrow"/>
                <w:bCs/>
                <w:color w:val="000000" w:themeColor="text1"/>
                <w:lang w:val="es-CO"/>
              </w:rPr>
              <w:t xml:space="preserve">”.  </w:t>
            </w:r>
          </w:p>
          <w:p w14:paraId="440E3EA8"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7186914A"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La Corte Constitucional en Sentencia C-089/18 indicó que:  </w:t>
            </w:r>
          </w:p>
          <w:p w14:paraId="5280B10D"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2E153297" w14:textId="77777777" w:rsidR="009D263D" w:rsidRPr="009D263D" w:rsidRDefault="009D263D" w:rsidP="009D263D">
            <w:pPr>
              <w:ind w:left="1014" w:right="567"/>
              <w:jc w:val="both"/>
              <w:rPr>
                <w:rFonts w:ascii="Arial Narrow" w:hAnsi="Arial Narrow"/>
                <w:bCs/>
                <w:i/>
                <w:color w:val="000000" w:themeColor="text1"/>
                <w:sz w:val="20"/>
                <w:szCs w:val="20"/>
                <w:lang w:val="es-CO"/>
              </w:rPr>
            </w:pPr>
            <w:r w:rsidRPr="009D263D">
              <w:rPr>
                <w:rFonts w:ascii="Arial Narrow" w:hAnsi="Arial Narrow"/>
                <w:bCs/>
                <w:i/>
                <w:color w:val="000000" w:themeColor="text1"/>
                <w:sz w:val="20"/>
                <w:szCs w:val="20"/>
                <w:lang w:val="es-CO"/>
              </w:rPr>
              <w:t xml:space="preserve">“(…) la principal consecuencia de régimen de prelación es que las acreencias se pagan en el orden fijado por la ley, y hasta que el patrimonio del deudor lo permita, se produce una afectación intensa al principio de igualdad entre los acreedores, par </w:t>
            </w:r>
            <w:proofErr w:type="spellStart"/>
            <w:r w:rsidRPr="009D263D">
              <w:rPr>
                <w:rFonts w:ascii="Arial Narrow" w:hAnsi="Arial Narrow"/>
                <w:bCs/>
                <w:i/>
                <w:color w:val="000000" w:themeColor="text1"/>
                <w:sz w:val="20"/>
                <w:szCs w:val="20"/>
                <w:lang w:val="es-CO"/>
              </w:rPr>
              <w:t>conditio</w:t>
            </w:r>
            <w:proofErr w:type="spellEnd"/>
            <w:r w:rsidRPr="009D263D">
              <w:rPr>
                <w:rFonts w:ascii="Arial Narrow" w:hAnsi="Arial Narrow"/>
                <w:bCs/>
                <w:i/>
                <w:color w:val="000000" w:themeColor="text1"/>
                <w:sz w:val="20"/>
                <w:szCs w:val="20"/>
                <w:lang w:val="es-CO"/>
              </w:rPr>
              <w:t xml:space="preserve"> </w:t>
            </w:r>
            <w:proofErr w:type="spellStart"/>
            <w:r w:rsidRPr="009D263D">
              <w:rPr>
                <w:rFonts w:ascii="Arial Narrow" w:hAnsi="Arial Narrow"/>
                <w:bCs/>
                <w:i/>
                <w:color w:val="000000" w:themeColor="text1"/>
                <w:sz w:val="20"/>
                <w:szCs w:val="20"/>
                <w:lang w:val="es-CO"/>
              </w:rPr>
              <w:t>creditorum</w:t>
            </w:r>
            <w:proofErr w:type="spellEnd"/>
            <w:r w:rsidRPr="009D263D">
              <w:rPr>
                <w:rFonts w:ascii="Arial Narrow" w:hAnsi="Arial Narrow"/>
                <w:bCs/>
                <w:i/>
                <w:color w:val="000000" w:themeColor="text1"/>
                <w:sz w:val="20"/>
                <w:szCs w:val="20"/>
                <w:lang w:val="es-CO"/>
              </w:rPr>
              <w:t xml:space="preserve">, al punto que algunos créditos podrían quedar sin pago. Por ello, solo el legislador puede establecer esta clase de privilegios.”  </w:t>
            </w:r>
          </w:p>
          <w:p w14:paraId="7E428FC9"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6768062F" w14:textId="77777777" w:rsidR="00CD31C3" w:rsidRDefault="009D263D" w:rsidP="00CD31C3">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El legislador puede determinar un orden específico de prelación de créditos, y así sucedió con el artículo 12</w:t>
            </w:r>
            <w:r>
              <w:rPr>
                <w:rStyle w:val="Refdenotaalpie"/>
                <w:rFonts w:ascii="Arial Narrow" w:hAnsi="Arial Narrow"/>
                <w:bCs/>
                <w:color w:val="000000" w:themeColor="text1"/>
                <w:lang w:val="es-CO"/>
              </w:rPr>
              <w:footnoteReference w:id="8"/>
            </w:r>
            <w:r w:rsidRPr="009D263D">
              <w:rPr>
                <w:rFonts w:ascii="Arial Narrow" w:hAnsi="Arial Narrow"/>
                <w:bCs/>
                <w:color w:val="000000" w:themeColor="text1"/>
                <w:lang w:val="es-CO"/>
              </w:rPr>
              <w:t xml:space="preserve"> de la Ley 1797 de 2016</w:t>
            </w:r>
            <w:r w:rsidR="00CD31C3">
              <w:rPr>
                <w:rFonts w:ascii="Arial Narrow" w:hAnsi="Arial Narrow"/>
                <w:bCs/>
                <w:color w:val="000000" w:themeColor="text1"/>
                <w:lang w:val="es-CO"/>
              </w:rPr>
              <w:t>, e</w:t>
            </w:r>
            <w:r w:rsidRPr="009D263D">
              <w:rPr>
                <w:rFonts w:ascii="Arial Narrow" w:hAnsi="Arial Narrow"/>
                <w:bCs/>
                <w:color w:val="000000" w:themeColor="text1"/>
                <w:lang w:val="es-CO"/>
              </w:rPr>
              <w:t>n desarrollo de la disposición legal referida, el Ministerio de Salud y Protección Social expidió la Resolución No. 574 de 2017</w:t>
            </w:r>
            <w:r w:rsidRPr="009D263D">
              <w:rPr>
                <w:rFonts w:ascii="Arial Narrow" w:hAnsi="Arial Narrow"/>
                <w:bCs/>
                <w:color w:val="000000" w:themeColor="text1"/>
                <w:vertAlign w:val="superscript"/>
                <w:lang w:val="es-CO"/>
              </w:rPr>
              <w:footnoteReference w:id="9"/>
            </w:r>
            <w:r w:rsidRPr="009D263D">
              <w:rPr>
                <w:rFonts w:ascii="Arial Narrow" w:hAnsi="Arial Narrow"/>
                <w:bCs/>
                <w:color w:val="000000" w:themeColor="text1"/>
                <w:lang w:val="es-CO"/>
              </w:rPr>
              <w:t>, mediante la cual fijó el procedimiento que las Entidades en proceso de liquidación</w:t>
            </w:r>
            <w:r w:rsidRPr="009D263D">
              <w:rPr>
                <w:rFonts w:ascii="Arial Narrow" w:hAnsi="Arial Narrow"/>
                <w:bCs/>
                <w:color w:val="000000" w:themeColor="text1"/>
                <w:vertAlign w:val="superscript"/>
                <w:lang w:val="es-CO"/>
              </w:rPr>
              <w:footnoteReference w:id="10"/>
            </w:r>
            <w:r w:rsidRPr="009D263D">
              <w:rPr>
                <w:rFonts w:ascii="Arial Narrow" w:hAnsi="Arial Narrow"/>
                <w:bCs/>
                <w:color w:val="000000" w:themeColor="text1"/>
                <w:lang w:val="es-CO"/>
              </w:rPr>
              <w:t xml:space="preserve"> deben realizar para culminar de manera satisfactoria el proceso de cierre y aclaración de los asuntos pendientes ante el entonces FOSYGA, hoy ADRES.  </w:t>
            </w:r>
          </w:p>
          <w:p w14:paraId="60BD7A3E" w14:textId="77777777" w:rsidR="00CD31C3" w:rsidRDefault="00CD31C3" w:rsidP="00CD31C3">
            <w:pPr>
              <w:ind w:left="476" w:right="567"/>
              <w:jc w:val="both"/>
              <w:rPr>
                <w:rFonts w:ascii="Arial Narrow" w:hAnsi="Arial Narrow"/>
                <w:bCs/>
                <w:color w:val="000000" w:themeColor="text1"/>
                <w:lang w:val="es-CO"/>
              </w:rPr>
            </w:pPr>
          </w:p>
          <w:p w14:paraId="78475DA2" w14:textId="1CC23023" w:rsidR="009D263D" w:rsidRPr="009D263D" w:rsidRDefault="009D263D" w:rsidP="00CD31C3">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De manera concreta, el artículo 2° de la precitada resolución indica que el liquidador en un término máximo de seis (6) meses contados a partir del acto administrativo que autorice u ordene la liquidación y en todo caso, antes del establecimiento de la masa de liquidación deberá en el término indicado y en otros casos dentro de los diez (10) días hábiles siguientes al inicio del proceso de liquidación adelantar las siguientes acciones:   </w:t>
            </w:r>
          </w:p>
          <w:p w14:paraId="64E01872"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3B0A4C27" w14:textId="77777777" w:rsidR="00CD31C3" w:rsidRDefault="009D263D" w:rsidP="00CD31C3">
            <w:pPr>
              <w:pStyle w:val="Prrafodelista"/>
              <w:numPr>
                <w:ilvl w:val="0"/>
                <w:numId w:val="21"/>
              </w:numPr>
              <w:ind w:right="567"/>
              <w:jc w:val="both"/>
              <w:rPr>
                <w:rFonts w:ascii="Arial Narrow" w:hAnsi="Arial Narrow"/>
                <w:bCs/>
                <w:iCs/>
                <w:color w:val="000000" w:themeColor="text1"/>
                <w:lang w:val="es-CO"/>
              </w:rPr>
            </w:pPr>
            <w:r w:rsidRPr="00CD31C3">
              <w:rPr>
                <w:rFonts w:ascii="Arial Narrow" w:hAnsi="Arial Narrow"/>
                <w:bCs/>
                <w:iCs/>
                <w:color w:val="000000" w:themeColor="text1"/>
                <w:lang w:val="es-CO"/>
              </w:rPr>
              <w:t xml:space="preserve">Identificar los recursos que pertenecen al FOSYGA o quien haga sus veces, que se encuentren en las cuentas maestras de recaudo de cotizaciones en salud y reintegrarlos dentro de los diez (10) días hábiles siguientes al inicio del proceso de liquidación. </w:t>
            </w:r>
          </w:p>
          <w:p w14:paraId="6036373E" w14:textId="77777777" w:rsidR="00CD31C3" w:rsidRDefault="00CD31C3" w:rsidP="00CD31C3">
            <w:pPr>
              <w:pStyle w:val="Prrafodelista"/>
              <w:ind w:left="1240" w:right="567"/>
              <w:jc w:val="both"/>
              <w:rPr>
                <w:rFonts w:ascii="Arial Narrow" w:hAnsi="Arial Narrow"/>
                <w:bCs/>
                <w:iCs/>
                <w:color w:val="000000" w:themeColor="text1"/>
                <w:lang w:val="es-CO"/>
              </w:rPr>
            </w:pPr>
          </w:p>
          <w:p w14:paraId="1E4BFC7A" w14:textId="44CE57C7" w:rsidR="009D263D" w:rsidRPr="00CD31C3" w:rsidRDefault="009D263D" w:rsidP="00CD31C3">
            <w:pPr>
              <w:pStyle w:val="Prrafodelista"/>
              <w:numPr>
                <w:ilvl w:val="0"/>
                <w:numId w:val="21"/>
              </w:numPr>
              <w:ind w:right="567"/>
              <w:jc w:val="both"/>
              <w:rPr>
                <w:rFonts w:ascii="Arial Narrow" w:hAnsi="Arial Narrow"/>
                <w:bCs/>
                <w:iCs/>
                <w:color w:val="000000" w:themeColor="text1"/>
                <w:lang w:val="es-CO"/>
              </w:rPr>
            </w:pPr>
            <w:r w:rsidRPr="00CD31C3">
              <w:rPr>
                <w:rFonts w:ascii="Arial Narrow" w:hAnsi="Arial Narrow"/>
                <w:bCs/>
                <w:iCs/>
                <w:color w:val="000000" w:themeColor="text1"/>
                <w:lang w:val="es-CO"/>
              </w:rPr>
              <w:t xml:space="preserve">Identificar las obligaciones a favor del FOSYGA o quien haga sus veces, restituir y/o constituir las respectivas reservas de recursos financieros a la vista, frente a los procedimientos de reintegro que se encuentren en curso. </w:t>
            </w:r>
          </w:p>
          <w:p w14:paraId="642195BB"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i/>
                <w:color w:val="000000" w:themeColor="text1"/>
                <w:lang w:val="es-CO"/>
              </w:rPr>
              <w:t xml:space="preserve"> </w:t>
            </w:r>
          </w:p>
          <w:p w14:paraId="777A16B9"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En consonancia con lo dicho, el agente liquidador dentro del proceso de liquidación debe ceñirse al procedimiento descrito </w:t>
            </w:r>
            <w:r w:rsidRPr="009D263D">
              <w:rPr>
                <w:rFonts w:ascii="Arial Narrow" w:hAnsi="Arial Narrow"/>
                <w:bCs/>
                <w:color w:val="000000" w:themeColor="text1"/>
                <w:lang w:val="es-CO"/>
              </w:rPr>
              <w:lastRenderedPageBreak/>
              <w:t xml:space="preserve">en el citado acto administrativo para adelantar y culminar los asuntos pendientes con el FOSYGA o quien haga sus veces, antes del establecimiento de la masa de liquidación.  </w:t>
            </w:r>
          </w:p>
          <w:p w14:paraId="21C6B7B6"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515B835A" w14:textId="05D5C30C" w:rsidR="009D263D" w:rsidRPr="009D263D" w:rsidRDefault="009D263D" w:rsidP="00CD31C3">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Ahora bien, el Decreto 3557 de 2008 estipula que el liquidador designado por la Superintendencia Nacional de Salud ejercerá sus funciones de conformidad con el artículo 295-9 del Decreto 663 de 1993 y las demás normas relacionadas con la materia. Es así como, el agente liquidador debe acatar las normas del Sistema General de Seguridad Social, el Estatuto Orgánico del Sistema Financiero y demás disposiciones normativas aplicables.  </w:t>
            </w:r>
          </w:p>
          <w:p w14:paraId="3ECAF81A"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0B9CC036"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El artículo 299 del Decreto 663 de 1993 –Estatuto Orgánico del Sistema Financiero- establece que, para determinar el pasivo de la entidad en proceso de Liquidación Forzosa Administrativa, se debe tener en cuenta lo siguiente: </w:t>
            </w:r>
          </w:p>
          <w:p w14:paraId="17868507"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1EAA13DE" w14:textId="77777777" w:rsidR="009D263D" w:rsidRPr="009D263D" w:rsidRDefault="009D263D" w:rsidP="00CD31C3">
            <w:pPr>
              <w:ind w:left="1014"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w:t>
            </w:r>
            <w:r w:rsidRPr="009D263D">
              <w:rPr>
                <w:rFonts w:ascii="Arial Narrow" w:hAnsi="Arial Narrow"/>
                <w:b/>
                <w:bCs/>
                <w:i/>
                <w:color w:val="000000" w:themeColor="text1"/>
                <w:sz w:val="20"/>
                <w:szCs w:val="20"/>
                <w:lang w:val="es-CO"/>
              </w:rPr>
              <w:t xml:space="preserve">ARTICULO 299. MASA DE LA LIQUIDACIÓN. </w:t>
            </w:r>
            <w:r w:rsidRPr="009D263D">
              <w:rPr>
                <w:rFonts w:ascii="Arial Narrow" w:hAnsi="Arial Narrow"/>
                <w:bCs/>
                <w:color w:val="000000" w:themeColor="text1"/>
                <w:sz w:val="20"/>
                <w:szCs w:val="20"/>
                <w:lang w:val="es-CO"/>
              </w:rPr>
              <w:t xml:space="preserve"> </w:t>
            </w:r>
          </w:p>
          <w:p w14:paraId="7DC8F992" w14:textId="77777777" w:rsidR="009D263D" w:rsidRPr="009D263D" w:rsidRDefault="009D263D" w:rsidP="00CD31C3">
            <w:pPr>
              <w:ind w:left="1014"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 </w:t>
            </w:r>
          </w:p>
          <w:p w14:paraId="221B52A6" w14:textId="77777777" w:rsidR="009D263D" w:rsidRPr="009D263D" w:rsidRDefault="009D263D" w:rsidP="00CD31C3">
            <w:pPr>
              <w:numPr>
                <w:ilvl w:val="0"/>
                <w:numId w:val="24"/>
              </w:numPr>
              <w:ind w:left="1014"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Masa de la liquidación. Integran la masa de la liquidación todos los bienes actuales y futuros de la entidad intervenida.  </w:t>
            </w:r>
          </w:p>
          <w:p w14:paraId="0D3E607B" w14:textId="77777777" w:rsidR="009D263D" w:rsidRPr="009D263D" w:rsidRDefault="009D263D" w:rsidP="00CD31C3">
            <w:pPr>
              <w:ind w:left="1014"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 </w:t>
            </w:r>
          </w:p>
          <w:p w14:paraId="2D080EAD" w14:textId="77777777" w:rsidR="009D263D" w:rsidRPr="009D263D" w:rsidRDefault="009D263D" w:rsidP="00CD31C3">
            <w:pPr>
              <w:numPr>
                <w:ilvl w:val="0"/>
                <w:numId w:val="24"/>
              </w:numPr>
              <w:ind w:left="1014"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Bienes excluidos de la masa de la liquidación. Además de lo dispuesto en los artículos 1154 y 1399 del Código de Comercio, no formarán parte de la masa de la liquidación:  </w:t>
            </w:r>
          </w:p>
          <w:p w14:paraId="2927BAF8" w14:textId="77777777" w:rsidR="009D263D" w:rsidRPr="009D263D" w:rsidRDefault="009D263D" w:rsidP="00CD31C3">
            <w:pPr>
              <w:ind w:left="1014"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 </w:t>
            </w:r>
          </w:p>
          <w:p w14:paraId="743C97CE" w14:textId="77777777" w:rsidR="009D263D" w:rsidRPr="009D263D" w:rsidRDefault="009D263D" w:rsidP="00CD31C3">
            <w:pPr>
              <w:numPr>
                <w:ilvl w:val="0"/>
                <w:numId w:val="25"/>
              </w:numPr>
              <w:ind w:left="1014"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Los títulos que se hayan entregado a la entidad intervenida para su cobranza y los que haya adquirido por cuenta de otro, siempre que estén emitidos o endosados directamente a favor del mandante o fideicomitente;  </w:t>
            </w:r>
          </w:p>
          <w:p w14:paraId="5398A043" w14:textId="77777777" w:rsidR="009D263D" w:rsidRPr="009D263D" w:rsidRDefault="009D263D" w:rsidP="00CD31C3">
            <w:pPr>
              <w:numPr>
                <w:ilvl w:val="0"/>
                <w:numId w:val="25"/>
              </w:numPr>
              <w:ind w:left="1014"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El dinero del mandante remitido a la entidad intervenida en desarrollo de un mandato o fideicomiso, siempre que haya por lo menos un principio de prueba escrita sobre la existencia del contrato a la fecha de la toma de posesión;  </w:t>
            </w:r>
          </w:p>
          <w:p w14:paraId="21226B93" w14:textId="77777777" w:rsidR="00CD31C3" w:rsidRPr="00CD31C3" w:rsidRDefault="009D263D" w:rsidP="00CD31C3">
            <w:pPr>
              <w:numPr>
                <w:ilvl w:val="0"/>
                <w:numId w:val="25"/>
              </w:numPr>
              <w:ind w:left="1014"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Las cantidades que se adeuden a la entidad intervenida y se encuentren afectas a una finalidad específica por corresponder a obligaciones contraídas por ella por cuenta de un tercero, si de ello hubiere por lo menos un principio de prueba escrita, y los documentos que obren en su poder, aunque no estén otorgados a favor del mandante, siempre que se compruebe que la obligación proviene de un mandato o fideicomiso y que los tiene por cuenta del mandante o fideicomitente;  </w:t>
            </w:r>
          </w:p>
          <w:p w14:paraId="63CB779C" w14:textId="77777777" w:rsidR="00CD31C3" w:rsidRPr="00CD31C3" w:rsidRDefault="00CD31C3" w:rsidP="00CD31C3">
            <w:pPr>
              <w:ind w:left="1014" w:right="567"/>
              <w:jc w:val="both"/>
              <w:rPr>
                <w:rFonts w:ascii="Arial Narrow" w:hAnsi="Arial Narrow"/>
                <w:bCs/>
                <w:color w:val="000000" w:themeColor="text1"/>
                <w:sz w:val="20"/>
                <w:szCs w:val="20"/>
                <w:lang w:val="es-CO"/>
              </w:rPr>
            </w:pPr>
          </w:p>
          <w:p w14:paraId="4B6C3022" w14:textId="77777777" w:rsidR="00CD31C3" w:rsidRPr="00CD31C3" w:rsidRDefault="009D263D" w:rsidP="00CD31C3">
            <w:pPr>
              <w:ind w:left="1014"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  </w:t>
            </w:r>
          </w:p>
          <w:p w14:paraId="031495E6" w14:textId="77777777" w:rsidR="00CD31C3" w:rsidRPr="00CD31C3" w:rsidRDefault="00CD31C3" w:rsidP="00CD31C3">
            <w:pPr>
              <w:ind w:left="1014" w:right="567"/>
              <w:jc w:val="both"/>
              <w:rPr>
                <w:rFonts w:ascii="Arial Narrow" w:hAnsi="Arial Narrow"/>
                <w:bCs/>
                <w:color w:val="000000" w:themeColor="text1"/>
                <w:sz w:val="20"/>
                <w:szCs w:val="20"/>
                <w:lang w:val="es-CO"/>
              </w:rPr>
            </w:pPr>
          </w:p>
          <w:p w14:paraId="246277D1" w14:textId="107F6A10" w:rsidR="009D263D" w:rsidRPr="009D263D" w:rsidRDefault="009D263D" w:rsidP="00CD31C3">
            <w:pPr>
              <w:ind w:left="1014" w:right="567"/>
              <w:jc w:val="both"/>
              <w:rPr>
                <w:rFonts w:ascii="Arial Narrow" w:hAnsi="Arial Narrow"/>
                <w:bCs/>
                <w:color w:val="000000" w:themeColor="text1"/>
                <w:sz w:val="20"/>
                <w:szCs w:val="20"/>
                <w:lang w:val="es-CO"/>
              </w:rPr>
            </w:pPr>
            <w:r w:rsidRPr="009D263D">
              <w:rPr>
                <w:rFonts w:ascii="Arial Narrow" w:hAnsi="Arial Narrow"/>
                <w:b/>
                <w:bCs/>
                <w:i/>
                <w:color w:val="000000" w:themeColor="text1"/>
                <w:sz w:val="20"/>
                <w:szCs w:val="20"/>
                <w:lang w:val="es-CO"/>
              </w:rPr>
              <w:t>PARAGRAFO</w:t>
            </w:r>
            <w:r w:rsidRPr="009D263D">
              <w:rPr>
                <w:rFonts w:ascii="Arial Narrow" w:hAnsi="Arial Narrow"/>
                <w:bCs/>
                <w:i/>
                <w:color w:val="000000" w:themeColor="text1"/>
                <w:sz w:val="20"/>
                <w:szCs w:val="20"/>
                <w:lang w:val="es-CO"/>
              </w:rPr>
              <w:t xml:space="preserve">. &lt;Parágrafo adicionado por el artículo 26 de la Ley 510 de 1999. El texto es el siguiente:&gt; No harán parte del balance de los establecimientos de crédito y se contabilizarán en cuentas de orden, las sumas recaudadas para terceros, en desarrollo de contratos de mandato, tales como las correspondientes a </w:t>
            </w:r>
            <w:r w:rsidRPr="009D263D">
              <w:rPr>
                <w:rFonts w:ascii="Arial Narrow" w:hAnsi="Arial Narrow"/>
                <w:b/>
                <w:bCs/>
                <w:i/>
                <w:color w:val="000000" w:themeColor="text1"/>
                <w:sz w:val="20"/>
                <w:szCs w:val="20"/>
                <w:lang w:val="es-CO"/>
              </w:rPr>
              <w:t>impuestos, contribuciones y tasas, así como los recaudos realizados por concepto de seguridad social</w:t>
            </w:r>
            <w:r w:rsidRPr="009D263D">
              <w:rPr>
                <w:rFonts w:ascii="Arial Narrow" w:hAnsi="Arial Narrow"/>
                <w:bCs/>
                <w:i/>
                <w:color w:val="000000" w:themeColor="text1"/>
                <w:sz w:val="20"/>
                <w:szCs w:val="20"/>
                <w:lang w:val="es-CO"/>
              </w:rPr>
              <w:t xml:space="preserve"> y los pagos de mesadas pensionales, mientras no se trasladen por orden expresa y escrita del mandante de depósitos ordinarios, cuentas de ahorro o inversiones”.</w:t>
            </w:r>
            <w:r w:rsidRPr="009D263D">
              <w:rPr>
                <w:rFonts w:ascii="Arial Narrow" w:hAnsi="Arial Narrow"/>
                <w:bCs/>
                <w:color w:val="000000" w:themeColor="text1"/>
                <w:sz w:val="20"/>
                <w:szCs w:val="20"/>
                <w:lang w:val="es-CO"/>
              </w:rPr>
              <w:t xml:space="preserve"> </w:t>
            </w:r>
          </w:p>
          <w:p w14:paraId="709B60FE"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13E4E8D6"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Los recursos del SGSSS son recursos públicos de naturaleza parafiscal con destinación específica, que NO hacen parte del patrimonio de las EPS, sino que, por el contrario, los mismos se encuentran destinados a financiar el sistema de salud, por lo que deben ser excluidos de la masa de liquidación, de acuerdo con lo expuesto por la Honorable Corte Constitucional en Sentencia C-824 de 2004</w:t>
            </w:r>
            <w:r w:rsidRPr="009D263D">
              <w:rPr>
                <w:rFonts w:ascii="Arial Narrow" w:hAnsi="Arial Narrow"/>
                <w:bCs/>
                <w:color w:val="000000" w:themeColor="text1"/>
                <w:vertAlign w:val="superscript"/>
                <w:lang w:val="es-CO"/>
              </w:rPr>
              <w:t>13</w:t>
            </w:r>
            <w:r w:rsidRPr="009D263D">
              <w:rPr>
                <w:rFonts w:ascii="Arial Narrow" w:hAnsi="Arial Narrow"/>
                <w:bCs/>
                <w:color w:val="000000" w:themeColor="text1"/>
                <w:lang w:val="es-CO"/>
              </w:rPr>
              <w:t xml:space="preserve">.  </w:t>
            </w:r>
          </w:p>
          <w:p w14:paraId="4FC51742"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571A1DAF"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El artículo 299 del Decreto 663 de 1993 señala cuales son los bienes que no integran la masa de </w:t>
            </w:r>
            <w:proofErr w:type="spellStart"/>
            <w:r w:rsidRPr="009D263D">
              <w:rPr>
                <w:rFonts w:ascii="Arial Narrow" w:hAnsi="Arial Narrow"/>
                <w:bCs/>
                <w:color w:val="000000" w:themeColor="text1"/>
                <w:lang w:val="es-CO"/>
              </w:rPr>
              <w:t>liquidatoria</w:t>
            </w:r>
            <w:proofErr w:type="spellEnd"/>
            <w:r w:rsidRPr="009D263D">
              <w:rPr>
                <w:rFonts w:ascii="Arial Narrow" w:hAnsi="Arial Narrow"/>
                <w:bCs/>
                <w:color w:val="000000" w:themeColor="text1"/>
                <w:lang w:val="es-CO"/>
              </w:rPr>
              <w:t xml:space="preserve"> y así mismo, el artículo 12 de la Ley 1797 de 2016 dispone que antes de la determinación de la prelación de créditos se debe dar cubrimiento de los recursos adeudados al FOSYGA o quien haga sus veces.  </w:t>
            </w:r>
          </w:p>
          <w:p w14:paraId="1FF1B332"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167438DE"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El artículo 9.1.3.2.4 del decreto 2555 del 2010 indica que para la determinación de las sumas a cargo de la entidad en liquidación se tendrá en cuenta lo siguiente:   </w:t>
            </w:r>
          </w:p>
          <w:p w14:paraId="03B65CDE"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i/>
                <w:color w:val="000000" w:themeColor="text1"/>
                <w:lang w:val="es-CO"/>
              </w:rPr>
              <w:t xml:space="preserve"> </w:t>
            </w:r>
          </w:p>
          <w:p w14:paraId="06155751" w14:textId="0661DE25" w:rsidR="009D263D" w:rsidRPr="009D263D" w:rsidRDefault="00664EEB" w:rsidP="00664EEB">
            <w:pPr>
              <w:ind w:left="1014" w:right="567"/>
              <w:jc w:val="both"/>
              <w:rPr>
                <w:rFonts w:ascii="Arial Narrow" w:hAnsi="Arial Narrow"/>
                <w:bCs/>
                <w:color w:val="000000" w:themeColor="text1"/>
                <w:sz w:val="20"/>
                <w:szCs w:val="20"/>
                <w:lang w:val="es-CO"/>
              </w:rPr>
            </w:pPr>
            <w:r>
              <w:rPr>
                <w:rFonts w:ascii="Arial Narrow" w:hAnsi="Arial Narrow"/>
                <w:bCs/>
                <w:i/>
                <w:color w:val="000000" w:themeColor="text1"/>
                <w:sz w:val="20"/>
                <w:szCs w:val="20"/>
                <w:lang w:val="es-CO"/>
              </w:rPr>
              <w:t xml:space="preserve">“(…) </w:t>
            </w:r>
            <w:r w:rsidR="009D263D" w:rsidRPr="009D263D">
              <w:rPr>
                <w:rFonts w:ascii="Arial Narrow" w:hAnsi="Arial Narrow"/>
                <w:bCs/>
                <w:i/>
                <w:color w:val="000000" w:themeColor="text1"/>
                <w:sz w:val="20"/>
                <w:szCs w:val="20"/>
                <w:lang w:val="es-CO"/>
              </w:rPr>
              <w:t xml:space="preserve">1. Determinación de las sumas y bienes excluidos de la masa y de los créditos a cargo de la masa de la liquidación. Dentro de los treinta (30) días hábiles siguientes al vencimiento del término para presentar reclamaciones, el liquidador decidirá sobre las reclamaciones presentadas oportunamente mediante resolución motivada o mediante actos administrativos independientes en los que además de resolver las objeciones presentadas se señalará lo siguiente: </w:t>
            </w:r>
          </w:p>
          <w:p w14:paraId="7BC36769" w14:textId="77777777" w:rsidR="009D263D" w:rsidRPr="009D263D" w:rsidRDefault="009D263D" w:rsidP="00664EEB">
            <w:pPr>
              <w:ind w:left="1014"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 </w:t>
            </w:r>
          </w:p>
          <w:p w14:paraId="12630EB3" w14:textId="77777777" w:rsidR="009D263D" w:rsidRPr="009D263D" w:rsidRDefault="009D263D" w:rsidP="00664EEB">
            <w:pPr>
              <w:numPr>
                <w:ilvl w:val="0"/>
                <w:numId w:val="26"/>
              </w:numPr>
              <w:ind w:left="1014" w:right="567"/>
              <w:jc w:val="both"/>
              <w:rPr>
                <w:rFonts w:ascii="Arial Narrow" w:hAnsi="Arial Narrow"/>
                <w:bCs/>
                <w:color w:val="000000" w:themeColor="text1"/>
                <w:sz w:val="20"/>
                <w:szCs w:val="20"/>
                <w:lang w:val="es-CO"/>
              </w:rPr>
            </w:pPr>
            <w:r w:rsidRPr="009D263D">
              <w:rPr>
                <w:rFonts w:ascii="Arial Narrow" w:hAnsi="Arial Narrow"/>
                <w:b/>
                <w:bCs/>
                <w:i/>
                <w:color w:val="000000" w:themeColor="text1"/>
                <w:sz w:val="20"/>
                <w:szCs w:val="20"/>
                <w:lang w:val="es-CO"/>
              </w:rPr>
              <w:t xml:space="preserve">Las reclamaciones oportunamente presentadas aceptadas y rechazadas en relación con bienes y sumas de dinero excluidos de la masa de la liquidación, señalando la cuantía y el orden de restitución de conformidad con el </w:t>
            </w:r>
            <w:r w:rsidRPr="009D263D">
              <w:rPr>
                <w:rFonts w:ascii="Arial Narrow" w:hAnsi="Arial Narrow"/>
                <w:b/>
                <w:bCs/>
                <w:i/>
                <w:color w:val="000000" w:themeColor="text1"/>
                <w:sz w:val="20"/>
                <w:szCs w:val="20"/>
                <w:lang w:val="es-CO"/>
              </w:rPr>
              <w:lastRenderedPageBreak/>
              <w:t xml:space="preserve">numeral 2 del artículo 299 del Estatuto Orgánico del Sistema Financiero modificado por el artículo 26 de la Ley 510 de 1999 y por el artículo 61 de la Ley 795 de 2003; los numerales 1, 5 y 6 del artículo 300 del Estatuto Orgánico del Sistema Financiero modificado por el artículo 25 de la Ley 510 de 1999; el artículo 51 de la Ley 454 de 1998; los artículos 9 y 10 de la Ley 546 de 1999 y las demás normas que expresamente reconozcan este privilegio; </w:t>
            </w:r>
          </w:p>
          <w:p w14:paraId="7D379DB3" w14:textId="77777777" w:rsidR="009D263D" w:rsidRPr="009D263D" w:rsidRDefault="009D263D" w:rsidP="00664EEB">
            <w:pPr>
              <w:ind w:left="1014" w:right="567"/>
              <w:jc w:val="both"/>
              <w:rPr>
                <w:rFonts w:ascii="Arial Narrow" w:hAnsi="Arial Narrow"/>
                <w:bCs/>
                <w:color w:val="000000" w:themeColor="text1"/>
                <w:sz w:val="20"/>
                <w:szCs w:val="20"/>
                <w:lang w:val="es-CO"/>
              </w:rPr>
            </w:pPr>
            <w:r w:rsidRPr="009D263D">
              <w:rPr>
                <w:rFonts w:ascii="Arial Narrow" w:hAnsi="Arial Narrow"/>
                <w:bCs/>
                <w:color w:val="000000" w:themeColor="text1"/>
                <w:sz w:val="20"/>
                <w:szCs w:val="20"/>
                <w:lang w:val="es-CO"/>
              </w:rPr>
              <w:t xml:space="preserve"> </w:t>
            </w:r>
          </w:p>
          <w:p w14:paraId="59A9D077" w14:textId="5628E30A" w:rsidR="009D263D" w:rsidRPr="009D263D" w:rsidRDefault="009D263D" w:rsidP="00664EEB">
            <w:pPr>
              <w:numPr>
                <w:ilvl w:val="0"/>
                <w:numId w:val="26"/>
              </w:numPr>
              <w:ind w:left="1014"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Las reclamaciones oportunamente presentadas, aceptadas y rechazadas contra la masa de la liquidación, señalando la naturaleza de </w:t>
            </w:r>
            <w:proofErr w:type="gramStart"/>
            <w:r w:rsidRPr="009D263D">
              <w:rPr>
                <w:rFonts w:ascii="Arial Narrow" w:hAnsi="Arial Narrow"/>
                <w:bCs/>
                <w:i/>
                <w:color w:val="000000" w:themeColor="text1"/>
                <w:sz w:val="20"/>
                <w:szCs w:val="20"/>
                <w:lang w:val="es-CO"/>
              </w:rPr>
              <w:t>las mismas</w:t>
            </w:r>
            <w:proofErr w:type="gramEnd"/>
            <w:r w:rsidRPr="009D263D">
              <w:rPr>
                <w:rFonts w:ascii="Arial Narrow" w:hAnsi="Arial Narrow"/>
                <w:bCs/>
                <w:i/>
                <w:color w:val="000000" w:themeColor="text1"/>
                <w:sz w:val="20"/>
                <w:szCs w:val="20"/>
                <w:lang w:val="es-CO"/>
              </w:rPr>
              <w:t>, su cuantía y la prelación para el pago y las preferencias que la ley establece, de conformidad con el numeral 1 del artículo 300 del Estatuto Orgánico del Sistema Financiero, las reglas generales del Código Civil y demás disposiciones legales aplicables.</w:t>
            </w:r>
            <w:r w:rsidR="00664EEB">
              <w:rPr>
                <w:rFonts w:ascii="Arial Narrow" w:hAnsi="Arial Narrow"/>
                <w:bCs/>
                <w:i/>
                <w:color w:val="000000" w:themeColor="text1"/>
                <w:sz w:val="20"/>
                <w:szCs w:val="20"/>
                <w:lang w:val="es-CO"/>
              </w:rPr>
              <w:t>”</w:t>
            </w:r>
          </w:p>
          <w:p w14:paraId="62AF498F" w14:textId="77777777" w:rsidR="009D263D" w:rsidRPr="009D263D" w:rsidRDefault="009D263D" w:rsidP="00664EEB">
            <w:pPr>
              <w:ind w:left="1014" w:right="567"/>
              <w:jc w:val="both"/>
              <w:rPr>
                <w:rFonts w:ascii="Arial Narrow" w:hAnsi="Arial Narrow"/>
                <w:bCs/>
                <w:color w:val="000000" w:themeColor="text1"/>
                <w:sz w:val="20"/>
                <w:szCs w:val="20"/>
                <w:lang w:val="es-CO"/>
              </w:rPr>
            </w:pPr>
            <w:r w:rsidRPr="009D263D">
              <w:rPr>
                <w:rFonts w:ascii="Arial Narrow" w:hAnsi="Arial Narrow"/>
                <w:bCs/>
                <w:color w:val="000000" w:themeColor="text1"/>
                <w:sz w:val="20"/>
                <w:szCs w:val="20"/>
                <w:lang w:val="es-CO"/>
              </w:rPr>
              <w:t xml:space="preserve"> </w:t>
            </w:r>
          </w:p>
          <w:p w14:paraId="058F7665" w14:textId="4DA25012" w:rsidR="009D263D" w:rsidRDefault="00CD31C3" w:rsidP="00CD31C3">
            <w:pPr>
              <w:ind w:left="476" w:right="567"/>
              <w:jc w:val="both"/>
              <w:rPr>
                <w:rFonts w:ascii="Arial Narrow" w:hAnsi="Arial Narrow"/>
                <w:bCs/>
                <w:color w:val="000000" w:themeColor="text1"/>
                <w:lang w:val="es-CO"/>
              </w:rPr>
            </w:pPr>
            <w:r w:rsidRPr="00CD31C3">
              <w:rPr>
                <w:rFonts w:ascii="Arial Narrow" w:hAnsi="Arial Narrow"/>
                <w:bCs/>
                <w:color w:val="000000" w:themeColor="text1"/>
                <w:lang w:val="es-CO"/>
              </w:rPr>
              <w:t>Por lo anterior, el agente liquidador en el momento de la graduación y calificación</w:t>
            </w:r>
            <w:r>
              <w:rPr>
                <w:rFonts w:ascii="Arial Narrow" w:hAnsi="Arial Narrow"/>
                <w:bCs/>
                <w:color w:val="000000" w:themeColor="text1"/>
                <w:lang w:val="es-CO"/>
              </w:rPr>
              <w:t xml:space="preserve"> </w:t>
            </w:r>
            <w:r w:rsidRPr="00CD31C3">
              <w:rPr>
                <w:rFonts w:ascii="Arial Narrow" w:hAnsi="Arial Narrow"/>
                <w:bCs/>
                <w:color w:val="000000" w:themeColor="text1"/>
                <w:lang w:val="es-CO"/>
              </w:rPr>
              <w:t>de la acreencia presentada por la ADRES debe distinguir los recursos del SGSSS y</w:t>
            </w:r>
            <w:r>
              <w:rPr>
                <w:rFonts w:ascii="Arial Narrow" w:hAnsi="Arial Narrow"/>
                <w:bCs/>
                <w:color w:val="000000" w:themeColor="text1"/>
                <w:lang w:val="es-CO"/>
              </w:rPr>
              <w:t xml:space="preserve"> </w:t>
            </w:r>
            <w:r w:rsidRPr="00CD31C3">
              <w:rPr>
                <w:rFonts w:ascii="Arial Narrow" w:hAnsi="Arial Narrow"/>
                <w:bCs/>
                <w:color w:val="000000" w:themeColor="text1"/>
                <w:lang w:val="es-CO"/>
              </w:rPr>
              <w:t>reconocerlos por fuera de la masa de liquidación mediante acto administrativo</w:t>
            </w:r>
            <w:r>
              <w:rPr>
                <w:rFonts w:ascii="Arial Narrow" w:hAnsi="Arial Narrow"/>
                <w:bCs/>
                <w:color w:val="000000" w:themeColor="text1"/>
                <w:lang w:val="es-CO"/>
              </w:rPr>
              <w:t xml:space="preserve"> </w:t>
            </w:r>
            <w:r w:rsidRPr="00CD31C3">
              <w:rPr>
                <w:rFonts w:ascii="Arial Narrow" w:hAnsi="Arial Narrow"/>
                <w:bCs/>
                <w:color w:val="000000" w:themeColor="text1"/>
                <w:lang w:val="es-CO"/>
              </w:rPr>
              <w:t>para su restitución en forma previa de manera especial conforme al inciso primero</w:t>
            </w:r>
            <w:r>
              <w:rPr>
                <w:rFonts w:ascii="Arial Narrow" w:hAnsi="Arial Narrow"/>
                <w:bCs/>
                <w:color w:val="000000" w:themeColor="text1"/>
                <w:lang w:val="es-CO"/>
              </w:rPr>
              <w:t xml:space="preserve"> </w:t>
            </w:r>
            <w:r w:rsidRPr="00CD31C3">
              <w:rPr>
                <w:rFonts w:ascii="Arial Narrow" w:hAnsi="Arial Narrow"/>
                <w:bCs/>
                <w:color w:val="000000" w:themeColor="text1"/>
                <w:lang w:val="es-CO"/>
              </w:rPr>
              <w:t>del artículo 12 de la Ley 1797 de 2016.</w:t>
            </w:r>
          </w:p>
          <w:p w14:paraId="6A7BA442" w14:textId="77777777" w:rsidR="00CD31C3" w:rsidRPr="009D263D" w:rsidRDefault="00CD31C3" w:rsidP="00CD31C3">
            <w:pPr>
              <w:ind w:right="567"/>
              <w:jc w:val="both"/>
              <w:rPr>
                <w:rFonts w:ascii="Arial Narrow" w:hAnsi="Arial Narrow"/>
                <w:bCs/>
                <w:color w:val="000000" w:themeColor="text1"/>
                <w:lang w:val="es-CO"/>
              </w:rPr>
            </w:pPr>
          </w:p>
          <w:p w14:paraId="2187A50A" w14:textId="4D5948DC" w:rsidR="009D263D" w:rsidRPr="009D263D" w:rsidRDefault="009D263D" w:rsidP="00664EEB">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ab/>
              <w:t xml:space="preserve">• </w:t>
            </w:r>
            <w:r w:rsidRPr="009D263D">
              <w:rPr>
                <w:rFonts w:ascii="Arial Narrow" w:hAnsi="Arial Narrow"/>
                <w:bCs/>
                <w:color w:val="000000" w:themeColor="text1"/>
                <w:lang w:val="es-CO"/>
              </w:rPr>
              <w:tab/>
              <w:t xml:space="preserve"> </w:t>
            </w:r>
            <w:r w:rsidRPr="009D263D">
              <w:rPr>
                <w:rFonts w:ascii="Arial Narrow" w:hAnsi="Arial Narrow"/>
                <w:b/>
                <w:bCs/>
                <w:color w:val="000000" w:themeColor="text1"/>
                <w:lang w:val="es-CO"/>
              </w:rPr>
              <w:t xml:space="preserve">Omisiones de la Superintendencia Nacional de Salud. </w:t>
            </w:r>
          </w:p>
          <w:p w14:paraId="6BD33963"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48DAA903" w14:textId="77777777" w:rsidR="00115A20" w:rsidRDefault="009D263D" w:rsidP="00115A20">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La Superintendencia Nacional de Salud, en el artículo 3º del Decreto 1080 del 10 de septiembre de 2021, señala que tiene a su cargo el Sistema Integrado de Inspección, Vigilancia y Control del Sistema General de Seguridad Social y le corresponde ejercer inspección, vigilancia y control respecto de los actores del Sistema General de Seguridad Social en Salud. </w:t>
            </w:r>
          </w:p>
          <w:p w14:paraId="2319B99E" w14:textId="77777777" w:rsidR="00115A20" w:rsidRDefault="00115A20" w:rsidP="00115A20">
            <w:pPr>
              <w:ind w:left="476" w:right="567"/>
              <w:jc w:val="both"/>
              <w:rPr>
                <w:rFonts w:ascii="Arial Narrow" w:hAnsi="Arial Narrow"/>
                <w:bCs/>
                <w:color w:val="000000" w:themeColor="text1"/>
                <w:lang w:val="es-CO"/>
              </w:rPr>
            </w:pPr>
          </w:p>
          <w:p w14:paraId="3D6BCCC3" w14:textId="0792BAED" w:rsidR="009D263D" w:rsidRPr="009D263D" w:rsidRDefault="009D263D" w:rsidP="00115A20">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De conformidad con lo dispuesto en la Ley 1122 de 2007 en su artículo 35, se definen puntualmente las funciones de inspección, vigilancia y control de la Superintendencia Nacional de Salud de la siguiente forma:   </w:t>
            </w:r>
          </w:p>
          <w:p w14:paraId="6B9B2995"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3A9723AD" w14:textId="77777777" w:rsidR="009D263D" w:rsidRPr="009D263D" w:rsidRDefault="009D263D" w:rsidP="00115A20">
            <w:pPr>
              <w:ind w:left="1014"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“La inspección es el conjunto de actividades y acciones encaminadas al seguimiento, monitoreo y evaluación del Sistema General de Seguridad Social en Salud y que sirven para solicitar, confirmar y analizar de manera puntual la información que se requiera sobre la situación de los servicios de salud y sus recursos, sobre la situación jurídica, financiera, técnica científica, administrativa y económica de las entidades sometidas a vigilancia de la Superintendencia Nacional de Salud dentro del ámbito de su competencia. Son funciones de inspección entre otras las visitas, la revisión de documentos, el seguimiento de peticiones de interés general o particular y la práctica de investigaciones administrativas.  </w:t>
            </w:r>
          </w:p>
          <w:p w14:paraId="53408913" w14:textId="77777777" w:rsidR="009D263D" w:rsidRPr="009D263D" w:rsidRDefault="009D263D" w:rsidP="00115A20">
            <w:pPr>
              <w:ind w:left="1014"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 </w:t>
            </w:r>
          </w:p>
          <w:p w14:paraId="6DD786F3" w14:textId="77777777" w:rsidR="009D263D" w:rsidRPr="009D263D" w:rsidRDefault="009D263D" w:rsidP="00115A20">
            <w:pPr>
              <w:ind w:left="1014"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La vigilancia consiste en la atribución de la Superintendencia Nacional de Salud para advertir, prevenir, orientar, asistir y propender porque las entidades encargadas del financiamiento, aseguramiento, prestación del servicio de salud, atención al usuario, participación social y demás sujetos de vigilancia de la Superintendencia Nacional de Salud, cumplan con las normas que regulan el Sistema General de Seguridad Social en Salud para el desarrollo de éste.  </w:t>
            </w:r>
          </w:p>
          <w:p w14:paraId="00610B72" w14:textId="77777777" w:rsidR="009D263D" w:rsidRPr="009D263D" w:rsidRDefault="009D263D" w:rsidP="00115A20">
            <w:pPr>
              <w:ind w:left="1014"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 </w:t>
            </w:r>
          </w:p>
          <w:p w14:paraId="2600CEEF" w14:textId="77777777" w:rsidR="009D263D" w:rsidRPr="009D263D" w:rsidRDefault="009D263D" w:rsidP="00115A20">
            <w:pPr>
              <w:ind w:left="1014"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El control consiste en la atribución de la Superintendencia Nacional de Salud para ordenar los correctivos tendientes a la superación de la situación crítica o irregular (jurídica, financiera, económica, técnica, científico-administrativa) de cualquiera de sus vigilados y sancionar las actuaciones que se aparten del ordenamiento legal bien sea por acción o por omisión.” </w:t>
            </w:r>
          </w:p>
          <w:p w14:paraId="080F7B59"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i/>
                <w:color w:val="000000" w:themeColor="text1"/>
                <w:lang w:val="es-CO"/>
              </w:rPr>
              <w:t xml:space="preserve"> </w:t>
            </w:r>
          </w:p>
          <w:p w14:paraId="54FBC2FF"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En cuanto a las funciones especiales de la Superintendencia Nacional de Salud, la citada norma en su artículo 37 señala como principales ejes de la función de inspección vigilancia y control de mi representada, entre otros, el siguiente:   </w:t>
            </w:r>
          </w:p>
          <w:p w14:paraId="59749D48"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i/>
                <w:color w:val="000000" w:themeColor="text1"/>
                <w:lang w:val="es-CO"/>
              </w:rPr>
              <w:t xml:space="preserve"> </w:t>
            </w:r>
          </w:p>
          <w:p w14:paraId="69C2BB87" w14:textId="77777777" w:rsidR="009D263D" w:rsidRPr="009D263D" w:rsidRDefault="009D263D" w:rsidP="000930FE">
            <w:pPr>
              <w:ind w:left="1014"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 5. Eje de acciones y medidas especiales. Su objetivo es adelantar los procesos de intervención forzosa administrativa para administrar o liquidar las entidades vigiladas </w:t>
            </w:r>
            <w:r w:rsidRPr="009D263D">
              <w:rPr>
                <w:rFonts w:ascii="Arial Narrow" w:hAnsi="Arial Narrow"/>
                <w:bCs/>
                <w:i/>
                <w:color w:val="000000" w:themeColor="text1"/>
                <w:sz w:val="20"/>
                <w:szCs w:val="20"/>
                <w:u w:val="single"/>
                <w:lang w:val="es-CO"/>
              </w:rPr>
              <w:t>que cumplen funciones</w:t>
            </w:r>
            <w:r w:rsidRPr="009D263D">
              <w:rPr>
                <w:rFonts w:ascii="Arial Narrow" w:hAnsi="Arial Narrow"/>
                <w:bCs/>
                <w:i/>
                <w:color w:val="000000" w:themeColor="text1"/>
                <w:sz w:val="20"/>
                <w:szCs w:val="20"/>
                <w:lang w:val="es-CO"/>
              </w:rPr>
              <w:t xml:space="preserve"> de Entidades Promotoras de Salud, Instituciones Prestadoras de Salud de cualquier naturaleza y monopolios rentísticos cedidos al sector salud no asignados a otra entidad, así como para intervenir técnica y administrativamente las direcciones territoriales de salud. Tratándose de liquidaciones voluntarias, la Superintendencia Nacional de Salud ejercerá inspección, vigilancia y control sobre los derechos de los afiliados y los recursos del sector salud. En casos en que la Superintendencia Nacional de Salud revoque el certificado de autorización o funcionamiento que le otorgue a las Entidades Promotoras de Salud o Instituciones Prestadoras de Salud, deberá decidir sobre su liquidación” (…) </w:t>
            </w:r>
            <w:r w:rsidRPr="009D263D">
              <w:rPr>
                <w:rFonts w:ascii="Arial Narrow" w:hAnsi="Arial Narrow"/>
                <w:bCs/>
                <w:color w:val="000000" w:themeColor="text1"/>
                <w:sz w:val="20"/>
                <w:szCs w:val="20"/>
                <w:lang w:val="es-CO"/>
              </w:rPr>
              <w:t xml:space="preserve"> </w:t>
            </w:r>
          </w:p>
          <w:p w14:paraId="6EA12B38"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3803E2E1" w14:textId="121C1575"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De las citadas normas, se puede </w:t>
            </w:r>
            <w:r w:rsidR="00003CD7">
              <w:rPr>
                <w:rFonts w:ascii="Arial Narrow" w:hAnsi="Arial Narrow"/>
                <w:bCs/>
                <w:color w:val="000000" w:themeColor="text1"/>
                <w:lang w:val="es-CO"/>
              </w:rPr>
              <w:t xml:space="preserve">inferir </w:t>
            </w:r>
            <w:r w:rsidRPr="009D263D">
              <w:rPr>
                <w:rFonts w:ascii="Arial Narrow" w:hAnsi="Arial Narrow"/>
                <w:bCs/>
                <w:color w:val="000000" w:themeColor="text1"/>
                <w:lang w:val="es-CO"/>
              </w:rPr>
              <w:t xml:space="preserve">que la función esencial de vigilancia, inspección y control de la Superintendencia Nacional de Salud consiste primordialmente en </w:t>
            </w:r>
            <w:r w:rsidRPr="009D263D">
              <w:rPr>
                <w:rFonts w:ascii="Arial Narrow" w:hAnsi="Arial Narrow"/>
                <w:bCs/>
                <w:color w:val="000000" w:themeColor="text1"/>
                <w:u w:val="single"/>
                <w:lang w:val="es-CO"/>
              </w:rPr>
              <w:t>desarrollar actividades encaminadas a asegurar el efectivo desarrollo</w:t>
            </w:r>
            <w:r w:rsidRPr="009D263D">
              <w:rPr>
                <w:rFonts w:ascii="Arial Narrow" w:hAnsi="Arial Narrow"/>
                <w:bCs/>
                <w:color w:val="000000" w:themeColor="text1"/>
                <w:lang w:val="es-CO"/>
              </w:rPr>
              <w:t xml:space="preserve"> </w:t>
            </w:r>
            <w:r w:rsidRPr="009D263D">
              <w:rPr>
                <w:rFonts w:ascii="Arial Narrow" w:hAnsi="Arial Narrow"/>
                <w:bCs/>
                <w:color w:val="000000" w:themeColor="text1"/>
                <w:u w:val="single"/>
                <w:lang w:val="es-CO"/>
              </w:rPr>
              <w:t xml:space="preserve">del </w:t>
            </w:r>
            <w:r w:rsidRPr="009D263D">
              <w:rPr>
                <w:rFonts w:ascii="Arial Narrow" w:hAnsi="Arial Narrow"/>
                <w:bCs/>
                <w:color w:val="000000" w:themeColor="text1"/>
                <w:u w:val="single"/>
                <w:lang w:val="es-CO"/>
              </w:rPr>
              <w:lastRenderedPageBreak/>
              <w:t>Sistema General de Seguridad Social en Salud y evitar un daño a la estabilidad</w:t>
            </w:r>
            <w:r w:rsidRPr="009D263D">
              <w:rPr>
                <w:rFonts w:ascii="Arial Narrow" w:hAnsi="Arial Narrow"/>
                <w:bCs/>
                <w:color w:val="000000" w:themeColor="text1"/>
                <w:lang w:val="es-CO"/>
              </w:rPr>
              <w:t xml:space="preserve"> </w:t>
            </w:r>
            <w:r w:rsidRPr="009D263D">
              <w:rPr>
                <w:rFonts w:ascii="Arial Narrow" w:hAnsi="Arial Narrow"/>
                <w:bCs/>
                <w:color w:val="000000" w:themeColor="text1"/>
                <w:u w:val="single"/>
                <w:lang w:val="es-CO"/>
              </w:rPr>
              <w:t>financiera del mismo</w:t>
            </w:r>
            <w:r w:rsidRPr="009D263D">
              <w:rPr>
                <w:rFonts w:ascii="Arial Narrow" w:hAnsi="Arial Narrow"/>
                <w:bCs/>
                <w:color w:val="000000" w:themeColor="text1"/>
                <w:lang w:val="es-CO"/>
              </w:rPr>
              <w:t xml:space="preserve">, es decir, debe propender por el buen funcionamiento de las entidades vigiladas, revisando, entre otras cosas,  el cumplimiento de las políticas del Estado por parte de las entidades privadas como lo ordena el artículo 49 de la Carta Política, a saber: </w:t>
            </w:r>
          </w:p>
          <w:p w14:paraId="08239BFF"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59243956" w14:textId="77777777" w:rsidR="009D263D" w:rsidRPr="009D263D" w:rsidRDefault="009D263D" w:rsidP="00003CD7">
            <w:pPr>
              <w:ind w:left="1014" w:right="567"/>
              <w:jc w:val="both"/>
              <w:rPr>
                <w:rFonts w:ascii="Arial Narrow" w:hAnsi="Arial Narrow"/>
                <w:bCs/>
                <w:color w:val="000000" w:themeColor="text1"/>
                <w:sz w:val="20"/>
                <w:szCs w:val="20"/>
                <w:lang w:val="es-CO"/>
              </w:rPr>
            </w:pPr>
            <w:r w:rsidRPr="009D263D">
              <w:rPr>
                <w:rFonts w:ascii="Arial Narrow" w:hAnsi="Arial Narrow"/>
                <w:bCs/>
                <w:color w:val="000000" w:themeColor="text1"/>
                <w:sz w:val="20"/>
                <w:szCs w:val="20"/>
                <w:lang w:val="es-CO"/>
              </w:rPr>
              <w:t>“</w:t>
            </w:r>
            <w:r w:rsidRPr="009D263D">
              <w:rPr>
                <w:rFonts w:ascii="Arial Narrow" w:hAnsi="Arial Narrow"/>
                <w:bCs/>
                <w:i/>
                <w:color w:val="000000" w:themeColor="text1"/>
                <w:sz w:val="20"/>
                <w:szCs w:val="20"/>
                <w:lang w:val="es-CO"/>
              </w:rPr>
              <w:t xml:space="preserve">La atención de la salud y el saneamiento ambiental son servicios públicos a cargo del Estado. Se garantiza a todas las personas el acceso a los servicios de promoción, protección y recuperación de la salud. </w:t>
            </w:r>
          </w:p>
          <w:p w14:paraId="5DB87ED1" w14:textId="77777777" w:rsidR="009D263D" w:rsidRPr="009D263D" w:rsidRDefault="009D263D" w:rsidP="00003CD7">
            <w:pPr>
              <w:ind w:left="1014"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 </w:t>
            </w:r>
          </w:p>
          <w:p w14:paraId="09E60B52" w14:textId="77777777" w:rsidR="009D263D" w:rsidRPr="009D263D" w:rsidRDefault="009D263D" w:rsidP="00003CD7">
            <w:pPr>
              <w:ind w:left="1014"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Corresponde al Estado organizar, dirigir y reglamentar la prestación de servicios de salud a los habitantes y de saneamiento ambiental conforme a los principios de eficiencia, universalidad y solidaridad. </w:t>
            </w:r>
            <w:r w:rsidRPr="009D263D">
              <w:rPr>
                <w:rFonts w:ascii="Arial Narrow" w:hAnsi="Arial Narrow"/>
                <w:bCs/>
                <w:i/>
                <w:color w:val="000000" w:themeColor="text1"/>
                <w:sz w:val="20"/>
                <w:szCs w:val="20"/>
                <w:u w:val="single"/>
                <w:lang w:val="es-CO"/>
              </w:rPr>
              <w:t>También, establecer las políticas para</w:t>
            </w:r>
            <w:r w:rsidRPr="009D263D">
              <w:rPr>
                <w:rFonts w:ascii="Arial Narrow" w:hAnsi="Arial Narrow"/>
                <w:bCs/>
                <w:i/>
                <w:color w:val="000000" w:themeColor="text1"/>
                <w:sz w:val="20"/>
                <w:szCs w:val="20"/>
                <w:lang w:val="es-CO"/>
              </w:rPr>
              <w:t xml:space="preserve"> </w:t>
            </w:r>
            <w:r w:rsidRPr="009D263D">
              <w:rPr>
                <w:rFonts w:ascii="Arial Narrow" w:hAnsi="Arial Narrow"/>
                <w:bCs/>
                <w:i/>
                <w:color w:val="000000" w:themeColor="text1"/>
                <w:sz w:val="20"/>
                <w:szCs w:val="20"/>
                <w:u w:val="single"/>
                <w:lang w:val="es-CO"/>
              </w:rPr>
              <w:t>la prestación de servicios de salud por entidades privadas, y ejercer su vigilancia</w:t>
            </w:r>
            <w:r w:rsidRPr="009D263D">
              <w:rPr>
                <w:rFonts w:ascii="Arial Narrow" w:hAnsi="Arial Narrow"/>
                <w:bCs/>
                <w:i/>
                <w:color w:val="000000" w:themeColor="text1"/>
                <w:sz w:val="20"/>
                <w:szCs w:val="20"/>
                <w:lang w:val="es-CO"/>
              </w:rPr>
              <w:t xml:space="preserve"> </w:t>
            </w:r>
            <w:r w:rsidRPr="009D263D">
              <w:rPr>
                <w:rFonts w:ascii="Arial Narrow" w:hAnsi="Arial Narrow"/>
                <w:bCs/>
                <w:i/>
                <w:color w:val="000000" w:themeColor="text1"/>
                <w:sz w:val="20"/>
                <w:szCs w:val="20"/>
                <w:u w:val="single"/>
                <w:lang w:val="es-CO"/>
              </w:rPr>
              <w:t>y control.</w:t>
            </w:r>
            <w:r w:rsidRPr="009D263D">
              <w:rPr>
                <w:rFonts w:ascii="Arial Narrow" w:hAnsi="Arial Narrow"/>
                <w:bCs/>
                <w:i/>
                <w:color w:val="000000" w:themeColor="text1"/>
                <w:sz w:val="20"/>
                <w:szCs w:val="20"/>
                <w:lang w:val="es-CO"/>
              </w:rPr>
              <w:t>” (…)</w:t>
            </w:r>
            <w:r w:rsidRPr="009D263D">
              <w:rPr>
                <w:rFonts w:ascii="Arial Narrow" w:hAnsi="Arial Narrow"/>
                <w:bCs/>
                <w:color w:val="000000" w:themeColor="text1"/>
                <w:sz w:val="20"/>
                <w:szCs w:val="20"/>
                <w:lang w:val="es-CO"/>
              </w:rPr>
              <w:t xml:space="preserve"> (Subrayado fuera de texto). </w:t>
            </w:r>
          </w:p>
          <w:p w14:paraId="594CF1C6"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77E4207A"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Las funciones de vigilancia y control de las Superintendencias nacionales conforme a la Jurisprudencia del Honorable Consejo de </w:t>
            </w:r>
            <w:proofErr w:type="gramStart"/>
            <w:r w:rsidRPr="009D263D">
              <w:rPr>
                <w:rFonts w:ascii="Arial Narrow" w:hAnsi="Arial Narrow"/>
                <w:bCs/>
                <w:color w:val="000000" w:themeColor="text1"/>
                <w:lang w:val="es-CO"/>
              </w:rPr>
              <w:t>Estado,</w:t>
            </w:r>
            <w:proofErr w:type="gramEnd"/>
            <w:r w:rsidRPr="009D263D">
              <w:rPr>
                <w:rFonts w:ascii="Arial Narrow" w:hAnsi="Arial Narrow"/>
                <w:bCs/>
                <w:color w:val="000000" w:themeColor="text1"/>
                <w:lang w:val="es-CO"/>
              </w:rPr>
              <w:t xml:space="preserve"> han sido estudiados de la siguiente forma:   </w:t>
            </w:r>
          </w:p>
          <w:p w14:paraId="05BEE993"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08136C9F" w14:textId="09ADAD59" w:rsidR="009D263D" w:rsidRPr="009D263D" w:rsidRDefault="009D263D" w:rsidP="00003CD7">
            <w:pPr>
              <w:ind w:left="1014"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“En general, como ya se dijo, las superintendencias desarrollan funciones de inspección, vigilancia y control, </w:t>
            </w:r>
            <w:r w:rsidRPr="009D263D">
              <w:rPr>
                <w:rFonts w:ascii="Arial Narrow" w:hAnsi="Arial Narrow"/>
                <w:bCs/>
                <w:i/>
                <w:color w:val="000000" w:themeColor="text1"/>
                <w:sz w:val="20"/>
                <w:szCs w:val="20"/>
                <w:u w:val="single"/>
                <w:lang w:val="es-CO"/>
              </w:rPr>
              <w:t>sobre actividades económicas públicas y privadas</w:t>
            </w:r>
            <w:r w:rsidRPr="009D263D">
              <w:rPr>
                <w:rFonts w:ascii="Arial Narrow" w:hAnsi="Arial Narrow"/>
                <w:bCs/>
                <w:i/>
                <w:color w:val="000000" w:themeColor="text1"/>
                <w:sz w:val="20"/>
                <w:szCs w:val="20"/>
                <w:lang w:val="es-CO"/>
              </w:rPr>
              <w:t xml:space="preserve"> que se consideran de interés público y que la Constitución Política determina; tales funciones corresponden, según su definición, a las siguientes actuaciones:  </w:t>
            </w:r>
          </w:p>
          <w:p w14:paraId="6C3AB66C" w14:textId="77777777" w:rsidR="009D263D" w:rsidRPr="009D263D" w:rsidRDefault="009D263D" w:rsidP="00003CD7">
            <w:pPr>
              <w:ind w:left="1014"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  </w:t>
            </w:r>
          </w:p>
          <w:p w14:paraId="237542F3" w14:textId="77777777" w:rsidR="009D263D" w:rsidRPr="009D263D" w:rsidRDefault="009D263D" w:rsidP="00003CD7">
            <w:pPr>
              <w:ind w:left="1014"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Inspección: Es la acción y efecto de inspeccionar, es decir, examinar, reconocer atentamente una cosa. Cargo y cuidado de velar sobre una cosa.  </w:t>
            </w:r>
          </w:p>
          <w:p w14:paraId="6496258A" w14:textId="77777777" w:rsidR="009D263D" w:rsidRPr="009D263D" w:rsidRDefault="009D263D" w:rsidP="00003CD7">
            <w:pPr>
              <w:ind w:left="1014"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  </w:t>
            </w:r>
          </w:p>
          <w:p w14:paraId="44BF4F97" w14:textId="7A5D3C01" w:rsidR="00B4727F" w:rsidRDefault="009D263D" w:rsidP="00003CD7">
            <w:pPr>
              <w:ind w:left="1014" w:right="567"/>
              <w:jc w:val="both"/>
              <w:rPr>
                <w:rFonts w:ascii="Arial Narrow" w:hAnsi="Arial Narrow"/>
                <w:bCs/>
                <w:i/>
                <w:color w:val="000000" w:themeColor="text1"/>
                <w:sz w:val="20"/>
                <w:szCs w:val="20"/>
                <w:vertAlign w:val="superscript"/>
                <w:lang w:val="es-CO"/>
              </w:rPr>
            </w:pPr>
            <w:r w:rsidRPr="009D263D">
              <w:rPr>
                <w:rFonts w:ascii="Arial Narrow" w:hAnsi="Arial Narrow"/>
                <w:bCs/>
                <w:i/>
                <w:color w:val="000000" w:themeColor="text1"/>
                <w:sz w:val="20"/>
                <w:szCs w:val="20"/>
                <w:lang w:val="es-CO"/>
              </w:rPr>
              <w:t>Vigilancia: Cuidado y atención exacta en las cosas que están a cargo de cada uno; jurídicamente, se entiende como “Cuidado, celo y diligencia que se pone o ha de ponerse en las cosas y asuntos de la propia incumbencia // Servicio público destinado a velar por determinadas instituciones, personas y cosas”</w:t>
            </w:r>
            <w:r w:rsidR="00B4727F">
              <w:rPr>
                <w:rStyle w:val="Refdenotaalpie"/>
                <w:rFonts w:ascii="Arial Narrow" w:hAnsi="Arial Narrow"/>
                <w:bCs/>
                <w:i/>
                <w:color w:val="000000" w:themeColor="text1"/>
                <w:sz w:val="20"/>
                <w:szCs w:val="20"/>
                <w:lang w:val="es-CO"/>
              </w:rPr>
              <w:footnoteReference w:id="11"/>
            </w:r>
          </w:p>
          <w:p w14:paraId="5FD1CC4A" w14:textId="6A57C8CD" w:rsidR="009D263D" w:rsidRPr="009D263D" w:rsidRDefault="009D263D" w:rsidP="00003CD7">
            <w:pPr>
              <w:ind w:left="1014"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  </w:t>
            </w:r>
          </w:p>
          <w:p w14:paraId="0E971FC2" w14:textId="77777777" w:rsidR="009D263D" w:rsidRPr="009D263D" w:rsidRDefault="009D263D" w:rsidP="00003CD7">
            <w:pPr>
              <w:ind w:left="1014"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Control: Inspección, fiscalización, intervención. Dominio, mando, preponderancia.  </w:t>
            </w:r>
          </w:p>
          <w:p w14:paraId="56AA0607" w14:textId="77777777" w:rsidR="009D263D" w:rsidRPr="009D263D" w:rsidRDefault="009D263D" w:rsidP="00003CD7">
            <w:pPr>
              <w:ind w:left="1014"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  </w:t>
            </w:r>
          </w:p>
          <w:p w14:paraId="2EF9D076" w14:textId="1BF9E33B" w:rsidR="009D263D" w:rsidRPr="009D263D" w:rsidRDefault="009D263D" w:rsidP="00003CD7">
            <w:pPr>
              <w:ind w:left="1014"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u w:val="single"/>
                <w:lang w:val="es-CO"/>
              </w:rPr>
              <w:t>Conforme a estas definiciones, se deduce que</w:t>
            </w:r>
            <w:r w:rsidRPr="009D263D">
              <w:rPr>
                <w:rFonts w:ascii="Arial Narrow" w:hAnsi="Arial Narrow"/>
                <w:bCs/>
                <w:i/>
                <w:color w:val="000000" w:themeColor="text1"/>
                <w:sz w:val="20"/>
                <w:szCs w:val="20"/>
                <w:lang w:val="es-CO"/>
              </w:rPr>
              <w:t xml:space="preserve"> </w:t>
            </w:r>
            <w:r w:rsidRPr="009D263D">
              <w:rPr>
                <w:rFonts w:ascii="Arial Narrow" w:hAnsi="Arial Narrow"/>
                <w:bCs/>
                <w:i/>
                <w:color w:val="000000" w:themeColor="text1"/>
                <w:sz w:val="20"/>
                <w:szCs w:val="20"/>
                <w:u w:val="single"/>
                <w:lang w:val="es-CO"/>
              </w:rPr>
              <w:t>la finalidad primordial de las superintendencias no es la de establecer reglas de conducta para los destinatarios de su vigilancia y control, sino que es la de velar por el estricto cumplimiento</w:t>
            </w:r>
            <w:r w:rsidR="00003CD7" w:rsidRPr="00003CD7">
              <w:rPr>
                <w:rFonts w:ascii="Arial Narrow" w:hAnsi="Arial Narrow"/>
                <w:bCs/>
                <w:i/>
                <w:color w:val="000000" w:themeColor="text1"/>
                <w:sz w:val="20"/>
                <w:szCs w:val="20"/>
                <w:u w:val="single"/>
                <w:lang w:val="es-CO"/>
              </w:rPr>
              <w:t xml:space="preserve"> </w:t>
            </w:r>
            <w:r w:rsidRPr="009D263D">
              <w:rPr>
                <w:rFonts w:ascii="Arial Narrow" w:hAnsi="Arial Narrow"/>
                <w:bCs/>
                <w:i/>
                <w:color w:val="000000" w:themeColor="text1"/>
                <w:sz w:val="20"/>
                <w:szCs w:val="20"/>
                <w:u w:val="single"/>
                <w:lang w:val="es-CO"/>
              </w:rPr>
              <w:t>del ordenamiento jurídico que regula el desarrollo y ejercicio de las actividades de las personas que actúan en los distintos campos en los que tales entidades</w:t>
            </w:r>
            <w:r w:rsidRPr="009D263D">
              <w:rPr>
                <w:rFonts w:ascii="Arial Narrow" w:hAnsi="Arial Narrow"/>
                <w:bCs/>
                <w:i/>
                <w:color w:val="000000" w:themeColor="text1"/>
                <w:sz w:val="20"/>
                <w:szCs w:val="20"/>
                <w:lang w:val="es-CO"/>
              </w:rPr>
              <w:t xml:space="preserve"> </w:t>
            </w:r>
            <w:r w:rsidRPr="009D263D">
              <w:rPr>
                <w:rFonts w:ascii="Arial Narrow" w:hAnsi="Arial Narrow"/>
                <w:bCs/>
                <w:i/>
                <w:color w:val="000000" w:themeColor="text1"/>
                <w:sz w:val="20"/>
                <w:szCs w:val="20"/>
                <w:u w:val="single"/>
                <w:lang w:val="es-CO"/>
              </w:rPr>
              <w:t>ejercen sus funciones de inspección y vigilancia, es decir, que se trata de verificar la correcta aplicación de las leyes y decretos que rigen las distintas actividades objeto de control por parte de las superintendencias, con miras a la protección del desarrollo y equilibrio del respectivo sector y principalmente, a los</w:t>
            </w:r>
            <w:r w:rsidRPr="009D263D">
              <w:rPr>
                <w:rFonts w:ascii="Arial Narrow" w:hAnsi="Arial Narrow"/>
                <w:bCs/>
                <w:i/>
                <w:color w:val="000000" w:themeColor="text1"/>
                <w:sz w:val="20"/>
                <w:szCs w:val="20"/>
                <w:lang w:val="es-CO"/>
              </w:rPr>
              <w:t xml:space="preserve"> </w:t>
            </w:r>
            <w:r w:rsidRPr="009D263D">
              <w:rPr>
                <w:rFonts w:ascii="Arial Narrow" w:hAnsi="Arial Narrow"/>
                <w:bCs/>
                <w:i/>
                <w:color w:val="000000" w:themeColor="text1"/>
                <w:sz w:val="20"/>
                <w:szCs w:val="20"/>
                <w:u w:val="single"/>
                <w:lang w:val="es-CO"/>
              </w:rPr>
              <w:t>usuarios de los distintos servicios que lo componen</w:t>
            </w:r>
            <w:r w:rsidRPr="009D263D">
              <w:rPr>
                <w:rFonts w:ascii="Arial Narrow" w:hAnsi="Arial Narrow"/>
                <w:bCs/>
                <w:i/>
                <w:color w:val="000000" w:themeColor="text1"/>
                <w:sz w:val="20"/>
                <w:szCs w:val="20"/>
                <w:lang w:val="es-CO"/>
              </w:rPr>
              <w:t>.”</w:t>
            </w:r>
            <w:r w:rsidR="007E1B5A">
              <w:rPr>
                <w:rStyle w:val="Refdenotaalpie"/>
                <w:rFonts w:ascii="Arial Narrow" w:hAnsi="Arial Narrow"/>
                <w:bCs/>
                <w:i/>
                <w:color w:val="000000" w:themeColor="text1"/>
                <w:sz w:val="20"/>
                <w:szCs w:val="20"/>
                <w:lang w:val="es-CO"/>
              </w:rPr>
              <w:footnoteReference w:id="12"/>
            </w:r>
            <w:r w:rsidRPr="009D263D">
              <w:rPr>
                <w:rFonts w:ascii="Arial Narrow" w:hAnsi="Arial Narrow"/>
                <w:bCs/>
                <w:i/>
                <w:color w:val="000000" w:themeColor="text1"/>
                <w:sz w:val="20"/>
                <w:szCs w:val="20"/>
                <w:lang w:val="es-CO"/>
              </w:rPr>
              <w:t xml:space="preserve"> </w:t>
            </w:r>
            <w:r w:rsidRPr="009D263D">
              <w:rPr>
                <w:rFonts w:ascii="Arial Narrow" w:hAnsi="Arial Narrow"/>
                <w:bCs/>
                <w:color w:val="000000" w:themeColor="text1"/>
                <w:sz w:val="20"/>
                <w:szCs w:val="20"/>
                <w:lang w:val="es-CO"/>
              </w:rPr>
              <w:t xml:space="preserve">(Subrayado fuera de texto) </w:t>
            </w:r>
          </w:p>
          <w:p w14:paraId="799D3D8A" w14:textId="420F3184" w:rsidR="009D263D" w:rsidRPr="009D263D" w:rsidRDefault="009D263D" w:rsidP="00E96E75">
            <w:pPr>
              <w:ind w:left="1014" w:right="567"/>
              <w:jc w:val="both"/>
              <w:rPr>
                <w:rFonts w:ascii="Arial Narrow" w:hAnsi="Arial Narrow"/>
                <w:bCs/>
                <w:color w:val="000000" w:themeColor="text1"/>
                <w:sz w:val="20"/>
                <w:szCs w:val="20"/>
                <w:lang w:val="es-CO"/>
              </w:rPr>
            </w:pPr>
            <w:r w:rsidRPr="009D263D">
              <w:rPr>
                <w:rFonts w:ascii="Arial Narrow" w:hAnsi="Arial Narrow"/>
                <w:bCs/>
                <w:color w:val="000000" w:themeColor="text1"/>
                <w:sz w:val="20"/>
                <w:szCs w:val="20"/>
                <w:lang w:val="es-CO"/>
              </w:rPr>
              <w:t xml:space="preserve"> </w:t>
            </w:r>
          </w:p>
          <w:p w14:paraId="204EE20D"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Respecto de los procesos judiciales adelantados por acreencias en procesos </w:t>
            </w:r>
            <w:proofErr w:type="spellStart"/>
            <w:r w:rsidRPr="009D263D">
              <w:rPr>
                <w:rFonts w:ascii="Arial Narrow" w:hAnsi="Arial Narrow"/>
                <w:bCs/>
                <w:color w:val="000000" w:themeColor="text1"/>
                <w:lang w:val="es-CO"/>
              </w:rPr>
              <w:t>liquidatorios</w:t>
            </w:r>
            <w:proofErr w:type="spellEnd"/>
            <w:r w:rsidRPr="009D263D">
              <w:rPr>
                <w:rFonts w:ascii="Arial Narrow" w:hAnsi="Arial Narrow"/>
                <w:bCs/>
                <w:color w:val="000000" w:themeColor="text1"/>
                <w:lang w:val="es-CO"/>
              </w:rPr>
              <w:t xml:space="preserve"> de vigilados de la Superintendencia Nacional de Salud, el Honorable Consejo de Estado</w:t>
            </w:r>
            <w:r w:rsidRPr="009D263D">
              <w:rPr>
                <w:rFonts w:ascii="Arial Narrow" w:hAnsi="Arial Narrow"/>
                <w:bCs/>
                <w:color w:val="000000" w:themeColor="text1"/>
                <w:vertAlign w:val="superscript"/>
                <w:lang w:val="es-CO"/>
              </w:rPr>
              <w:footnoteReference w:id="13"/>
            </w:r>
            <w:r w:rsidRPr="009D263D">
              <w:rPr>
                <w:rFonts w:ascii="Arial Narrow" w:hAnsi="Arial Narrow"/>
                <w:bCs/>
                <w:color w:val="000000" w:themeColor="text1"/>
                <w:lang w:val="es-CO"/>
              </w:rPr>
              <w:t xml:space="preserve"> ha señalado: </w:t>
            </w:r>
          </w:p>
          <w:p w14:paraId="0D42DD93"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593B0381" w14:textId="77777777" w:rsidR="009D263D" w:rsidRPr="009D263D" w:rsidRDefault="009D263D" w:rsidP="000C1B06">
            <w:pPr>
              <w:ind w:left="1014" w:right="572"/>
              <w:jc w:val="both"/>
              <w:rPr>
                <w:rFonts w:ascii="Arial Narrow" w:hAnsi="Arial Narrow"/>
                <w:bCs/>
                <w:color w:val="000000" w:themeColor="text1"/>
                <w:sz w:val="20"/>
                <w:szCs w:val="20"/>
                <w:lang w:val="es-CO"/>
              </w:rPr>
            </w:pPr>
            <w:r w:rsidRPr="009D263D">
              <w:rPr>
                <w:rFonts w:ascii="Arial Narrow" w:hAnsi="Arial Narrow"/>
                <w:bCs/>
                <w:i/>
                <w:color w:val="000000" w:themeColor="text1"/>
                <w:lang w:val="es-CO"/>
              </w:rPr>
              <w:t xml:space="preserve"> </w:t>
            </w:r>
            <w:r w:rsidRPr="009D263D">
              <w:rPr>
                <w:rFonts w:ascii="Arial Narrow" w:hAnsi="Arial Narrow"/>
                <w:bCs/>
                <w:i/>
                <w:color w:val="000000" w:themeColor="text1"/>
                <w:sz w:val="20"/>
                <w:szCs w:val="20"/>
                <w:lang w:val="es-CO"/>
              </w:rPr>
              <w:t xml:space="preserve">«[…] V.- Las consideraciones. </w:t>
            </w:r>
          </w:p>
          <w:p w14:paraId="4802410E" w14:textId="77777777" w:rsidR="009D263D" w:rsidRPr="009D263D" w:rsidRDefault="009D263D" w:rsidP="000C1B06">
            <w:pPr>
              <w:ind w:left="1014" w:right="572"/>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 </w:t>
            </w:r>
          </w:p>
          <w:p w14:paraId="1986A415" w14:textId="77777777" w:rsidR="009D263D" w:rsidRPr="009D263D" w:rsidRDefault="009D263D" w:rsidP="000C1B06">
            <w:pPr>
              <w:ind w:left="1014" w:right="572"/>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En orden a resolver lo pertinente, observa la Sala que el problema jurídico consiste en determinar si es procedente jurídicamente que se tramite una demanda de nulidad y restablecimiento del derecho en contra de las decisiones proferidas en el proceso de liquidación de una entidad, aun cuando tal procedimiento ya haya finalizado, es decir, se haya dispuesto la terminación de la existencia legal de esa persona jurídica.  </w:t>
            </w:r>
          </w:p>
          <w:p w14:paraId="5D5185FB" w14:textId="77777777" w:rsidR="009D263D" w:rsidRPr="009D263D" w:rsidRDefault="009D263D" w:rsidP="000C1B06">
            <w:pPr>
              <w:ind w:left="1014" w:right="572"/>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 </w:t>
            </w:r>
          </w:p>
          <w:p w14:paraId="1B8DCB8C" w14:textId="77777777" w:rsidR="009D263D" w:rsidRPr="009D263D" w:rsidRDefault="009D263D" w:rsidP="000C1B06">
            <w:pPr>
              <w:numPr>
                <w:ilvl w:val="0"/>
                <w:numId w:val="29"/>
              </w:numPr>
              <w:ind w:left="1014" w:right="572"/>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1.- Liquidación Forzosa de entidades vigiladas en el Sector Salud </w:t>
            </w:r>
          </w:p>
          <w:p w14:paraId="29C679C6" w14:textId="77777777" w:rsidR="009D263D" w:rsidRPr="009D263D" w:rsidRDefault="009D263D" w:rsidP="000C1B06">
            <w:pPr>
              <w:ind w:left="1014" w:right="572"/>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 </w:t>
            </w:r>
          </w:p>
          <w:p w14:paraId="3E3A7872" w14:textId="77777777" w:rsidR="009D263D" w:rsidRPr="009D263D" w:rsidRDefault="009D263D" w:rsidP="000C1B06">
            <w:pPr>
              <w:ind w:left="1014" w:right="572"/>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5.1.1.- Régimen jurídico. </w:t>
            </w:r>
          </w:p>
          <w:p w14:paraId="642B8D3F" w14:textId="77777777" w:rsidR="009D263D" w:rsidRPr="009D263D" w:rsidRDefault="009D263D" w:rsidP="000C1B06">
            <w:pPr>
              <w:ind w:left="1014" w:right="572"/>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 </w:t>
            </w:r>
          </w:p>
          <w:p w14:paraId="75D68FF0" w14:textId="77777777" w:rsidR="009D263D" w:rsidRPr="009D263D" w:rsidRDefault="009D263D" w:rsidP="000C1B06">
            <w:pPr>
              <w:ind w:left="1014" w:right="572"/>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 Los artículos 48, 49 y 365 Constitucionales señalan que es obligación del Estado garantizar para todos los habitantes del </w:t>
            </w:r>
            <w:r w:rsidRPr="009D263D">
              <w:rPr>
                <w:rFonts w:ascii="Arial Narrow" w:hAnsi="Arial Narrow"/>
                <w:bCs/>
                <w:i/>
                <w:color w:val="000000" w:themeColor="text1"/>
                <w:sz w:val="20"/>
                <w:szCs w:val="20"/>
                <w:lang w:val="es-CO"/>
              </w:rPr>
              <w:lastRenderedPageBreak/>
              <w:t xml:space="preserve">territorio nacional el derecho a la Seguridad Social. Así mismo, indican que le corresponde delimitar las políticas para la prestación de dicho servicio ya que se trata de una finalidad inherente al modelo adoptado en la Carta Política de 1991. También señala que el servicio de seguridad social podrá ser prestado por los particulares. Las normas son del siguiente tenor:  </w:t>
            </w:r>
          </w:p>
          <w:p w14:paraId="435CD32A" w14:textId="77777777" w:rsidR="009D263D" w:rsidRPr="009D263D" w:rsidRDefault="009D263D" w:rsidP="000C1B06">
            <w:pPr>
              <w:ind w:left="1014" w:right="572"/>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 </w:t>
            </w:r>
          </w:p>
          <w:p w14:paraId="30A19385" w14:textId="77777777" w:rsidR="000C1B06" w:rsidRDefault="009D263D" w:rsidP="000C1B06">
            <w:pPr>
              <w:ind w:left="1014" w:right="572"/>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“ARTICULO 48. Se garantiza a todos los habitantes el derecho irrenunciable a la Seguridad Social.  </w:t>
            </w:r>
          </w:p>
          <w:p w14:paraId="752C4FF2" w14:textId="77777777" w:rsidR="000C1B06" w:rsidRDefault="000C1B06" w:rsidP="000C1B06">
            <w:pPr>
              <w:ind w:left="1014" w:right="572"/>
              <w:jc w:val="both"/>
              <w:rPr>
                <w:rFonts w:ascii="Arial Narrow" w:hAnsi="Arial Narrow"/>
                <w:bCs/>
                <w:color w:val="000000" w:themeColor="text1"/>
                <w:sz w:val="20"/>
                <w:szCs w:val="20"/>
                <w:lang w:val="es-CO"/>
              </w:rPr>
            </w:pPr>
          </w:p>
          <w:p w14:paraId="054635F6" w14:textId="41A5153B" w:rsidR="009D263D" w:rsidRPr="009D263D" w:rsidRDefault="009D263D" w:rsidP="000C1B06">
            <w:pPr>
              <w:ind w:left="1014" w:right="572"/>
              <w:jc w:val="both"/>
              <w:rPr>
                <w:rFonts w:ascii="Arial Narrow" w:hAnsi="Arial Narrow"/>
                <w:bCs/>
                <w:color w:val="000000" w:themeColor="text1"/>
                <w:sz w:val="20"/>
                <w:szCs w:val="20"/>
                <w:lang w:val="es-CO"/>
              </w:rPr>
            </w:pPr>
            <w:r w:rsidRPr="009D263D">
              <w:rPr>
                <w:rFonts w:ascii="Arial Narrow" w:hAnsi="Arial Narrow"/>
                <w:bCs/>
                <w:i/>
                <w:color w:val="000000" w:themeColor="text1"/>
                <w:lang w:val="es-CO"/>
              </w:rPr>
              <w:t xml:space="preserve">El Estado, con la participación de los particulares, ampliará progresivamente la cobertura de la Seguridad Social que comprenderá la prestación de los servicios en la forma que determine la Ley.  </w:t>
            </w:r>
          </w:p>
          <w:p w14:paraId="215955FE" w14:textId="14D28E90" w:rsidR="009D263D" w:rsidRPr="009D263D" w:rsidRDefault="009D263D" w:rsidP="000C1B06">
            <w:pPr>
              <w:ind w:left="476" w:right="567"/>
              <w:jc w:val="both"/>
              <w:rPr>
                <w:rFonts w:ascii="Arial Narrow" w:hAnsi="Arial Narrow"/>
                <w:bCs/>
                <w:color w:val="000000" w:themeColor="text1"/>
                <w:lang w:val="es-CO"/>
              </w:rPr>
            </w:pPr>
            <w:r w:rsidRPr="009D263D">
              <w:rPr>
                <w:rFonts w:ascii="Arial Narrow" w:hAnsi="Arial Narrow"/>
                <w:bCs/>
                <w:i/>
                <w:color w:val="000000" w:themeColor="text1"/>
                <w:lang w:val="es-CO"/>
              </w:rPr>
              <w:t xml:space="preserve"> </w:t>
            </w:r>
          </w:p>
          <w:p w14:paraId="7B44C291" w14:textId="77777777" w:rsidR="009D263D" w:rsidRPr="009D263D" w:rsidRDefault="009D263D" w:rsidP="009D263D">
            <w:pPr>
              <w:ind w:left="476" w:right="567"/>
              <w:jc w:val="both"/>
              <w:rPr>
                <w:rFonts w:ascii="Arial Narrow" w:hAnsi="Arial Narrow"/>
                <w:iCs/>
                <w:color w:val="000000" w:themeColor="text1"/>
                <w:lang w:val="es-CO"/>
              </w:rPr>
            </w:pPr>
            <w:r w:rsidRPr="009D263D">
              <w:rPr>
                <w:rFonts w:ascii="Arial Narrow" w:hAnsi="Arial Narrow"/>
                <w:iCs/>
                <w:color w:val="000000" w:themeColor="text1"/>
                <w:lang w:val="es-CO"/>
              </w:rPr>
              <w:t xml:space="preserve">De la lectura de las anotadas normas se desprende que un particular llamado “liquidador”, por mandato legal, desarrolla funciones públicas administrativas transitorias.  </w:t>
            </w:r>
          </w:p>
          <w:p w14:paraId="17E937F4" w14:textId="77777777" w:rsidR="009D263D" w:rsidRPr="009D263D" w:rsidRDefault="009D263D" w:rsidP="009D263D">
            <w:pPr>
              <w:ind w:left="476" w:right="567"/>
              <w:jc w:val="both"/>
              <w:rPr>
                <w:rFonts w:ascii="Arial Narrow" w:hAnsi="Arial Narrow"/>
                <w:iCs/>
                <w:color w:val="000000" w:themeColor="text1"/>
                <w:lang w:val="es-CO"/>
              </w:rPr>
            </w:pPr>
            <w:r w:rsidRPr="009D263D">
              <w:rPr>
                <w:rFonts w:ascii="Arial Narrow" w:hAnsi="Arial Narrow"/>
                <w:iCs/>
                <w:color w:val="000000" w:themeColor="text1"/>
                <w:lang w:val="es-CO"/>
              </w:rPr>
              <w:t xml:space="preserve"> </w:t>
            </w:r>
          </w:p>
          <w:p w14:paraId="6914481B" w14:textId="77777777" w:rsidR="009D263D" w:rsidRPr="009D263D" w:rsidRDefault="009D263D" w:rsidP="009D263D">
            <w:pPr>
              <w:ind w:left="476" w:right="567"/>
              <w:jc w:val="both"/>
              <w:rPr>
                <w:rFonts w:ascii="Arial Narrow" w:hAnsi="Arial Narrow"/>
                <w:iCs/>
                <w:color w:val="000000" w:themeColor="text1"/>
                <w:lang w:val="es-CO"/>
              </w:rPr>
            </w:pPr>
            <w:r w:rsidRPr="009D263D">
              <w:rPr>
                <w:rFonts w:ascii="Arial Narrow" w:hAnsi="Arial Narrow"/>
                <w:iCs/>
                <w:color w:val="000000" w:themeColor="text1"/>
                <w:lang w:val="es-CO"/>
              </w:rPr>
              <w:t xml:space="preserve">También se advierte que las decisiones que expide producto del desarrollo de esas funciones son actos administrativos, es decir, que las decisiones del liquidador en los términos expuestos gozan de los atributos de este tipo de normas, entre las cuales se encuentra la presunción de legalidad.  </w:t>
            </w:r>
          </w:p>
          <w:p w14:paraId="4A1F240D" w14:textId="77777777" w:rsidR="009D263D" w:rsidRPr="009D263D" w:rsidRDefault="009D263D" w:rsidP="009D263D">
            <w:pPr>
              <w:ind w:left="476" w:right="567"/>
              <w:jc w:val="both"/>
              <w:rPr>
                <w:rFonts w:ascii="Arial Narrow" w:hAnsi="Arial Narrow"/>
                <w:iCs/>
                <w:color w:val="000000" w:themeColor="text1"/>
                <w:lang w:val="es-CO"/>
              </w:rPr>
            </w:pPr>
            <w:r w:rsidRPr="009D263D">
              <w:rPr>
                <w:rFonts w:ascii="Arial Narrow" w:hAnsi="Arial Narrow"/>
                <w:iCs/>
                <w:color w:val="000000" w:themeColor="text1"/>
                <w:lang w:val="es-CO"/>
              </w:rPr>
              <w:t xml:space="preserve"> </w:t>
            </w:r>
          </w:p>
          <w:p w14:paraId="27B6E44F" w14:textId="77777777" w:rsidR="009D263D" w:rsidRPr="009D263D" w:rsidRDefault="009D263D" w:rsidP="009D263D">
            <w:pPr>
              <w:ind w:left="476" w:right="567"/>
              <w:jc w:val="both"/>
              <w:rPr>
                <w:rFonts w:ascii="Arial Narrow" w:hAnsi="Arial Narrow"/>
                <w:iCs/>
                <w:color w:val="000000" w:themeColor="text1"/>
                <w:lang w:val="es-CO"/>
              </w:rPr>
            </w:pPr>
            <w:r w:rsidRPr="009D263D">
              <w:rPr>
                <w:rFonts w:ascii="Arial Narrow" w:hAnsi="Arial Narrow"/>
                <w:iCs/>
                <w:color w:val="000000" w:themeColor="text1"/>
                <w:lang w:val="es-CO"/>
              </w:rPr>
              <w:t xml:space="preserve">En tal orden, las decisiones que dicta el liquidador se incorporan al ordenamiento jurídico y no desaparecen sino hasta tanto un Juez de la República, en este caso, la Jurisdicción de lo Contencioso Administrativo las deje sin efectos o declare su nulidad.  </w:t>
            </w:r>
          </w:p>
          <w:p w14:paraId="2E617F85" w14:textId="77777777" w:rsidR="009D263D" w:rsidRPr="009D263D" w:rsidRDefault="009D263D" w:rsidP="009D263D">
            <w:pPr>
              <w:ind w:left="476" w:right="567"/>
              <w:jc w:val="both"/>
              <w:rPr>
                <w:rFonts w:ascii="Arial Narrow" w:hAnsi="Arial Narrow"/>
                <w:iCs/>
                <w:color w:val="000000" w:themeColor="text1"/>
                <w:lang w:val="es-CO"/>
              </w:rPr>
            </w:pPr>
            <w:r w:rsidRPr="009D263D">
              <w:rPr>
                <w:rFonts w:ascii="Arial Narrow" w:hAnsi="Arial Narrow"/>
                <w:iCs/>
                <w:color w:val="000000" w:themeColor="text1"/>
                <w:lang w:val="es-CO"/>
              </w:rPr>
              <w:t xml:space="preserve"> </w:t>
            </w:r>
          </w:p>
          <w:p w14:paraId="2A3787AC" w14:textId="77777777" w:rsidR="000C1B06" w:rsidRDefault="009D263D" w:rsidP="000C1B06">
            <w:pPr>
              <w:ind w:left="476" w:right="567"/>
              <w:jc w:val="both"/>
              <w:rPr>
                <w:rFonts w:ascii="Arial Narrow" w:hAnsi="Arial Narrow"/>
                <w:iCs/>
                <w:color w:val="000000" w:themeColor="text1"/>
                <w:lang w:val="es-CO"/>
              </w:rPr>
            </w:pPr>
            <w:r w:rsidRPr="009D263D">
              <w:rPr>
                <w:rFonts w:ascii="Arial Narrow" w:hAnsi="Arial Narrow"/>
                <w:iCs/>
                <w:color w:val="000000" w:themeColor="text1"/>
                <w:lang w:val="es-CO"/>
              </w:rPr>
              <w:t xml:space="preserve">Siendo ello así, es claro que la existencia de esos actos administrativos no pende de la existencia de la entidad que está siendo objeto del proceso de liquidación forzosa, y por ello es procedente el análisis de legalidad aun cuando el procedimiento a que se ha aludido ya haya finalizado.  </w:t>
            </w:r>
          </w:p>
          <w:p w14:paraId="0BDE5D9C" w14:textId="77777777" w:rsidR="000C1B06" w:rsidRDefault="000C1B06" w:rsidP="000C1B06">
            <w:pPr>
              <w:ind w:left="476" w:right="567"/>
              <w:jc w:val="both"/>
              <w:rPr>
                <w:rFonts w:ascii="Arial Narrow" w:hAnsi="Arial Narrow"/>
                <w:iCs/>
                <w:color w:val="000000" w:themeColor="text1"/>
                <w:lang w:val="es-CO"/>
              </w:rPr>
            </w:pPr>
          </w:p>
          <w:p w14:paraId="468D5EF4" w14:textId="2F5C881C" w:rsidR="009D263D" w:rsidRPr="009D263D" w:rsidRDefault="009D263D" w:rsidP="000C1B06">
            <w:pPr>
              <w:ind w:left="476" w:right="567"/>
              <w:jc w:val="both"/>
              <w:rPr>
                <w:rFonts w:ascii="Arial Narrow" w:hAnsi="Arial Narrow"/>
                <w:iCs/>
                <w:color w:val="000000" w:themeColor="text1"/>
                <w:lang w:val="es-CO"/>
              </w:rPr>
            </w:pPr>
            <w:r w:rsidRPr="009D263D">
              <w:rPr>
                <w:rFonts w:ascii="Arial Narrow" w:hAnsi="Arial Narrow"/>
                <w:bCs/>
                <w:color w:val="000000" w:themeColor="text1"/>
                <w:lang w:val="es-CO"/>
              </w:rPr>
              <w:t xml:space="preserve">Así las cosas, resulta clara la relación de control y seguimiento que se le reconoce a la Superintendencia Nacional de Salud no solo respecto de las actuaciones desplegadas por el Agente Especial Liquidador que esta misma designa, sino de los actos que se expiden en dicho proceso </w:t>
            </w:r>
            <w:proofErr w:type="spellStart"/>
            <w:r w:rsidRPr="009D263D">
              <w:rPr>
                <w:rFonts w:ascii="Arial Narrow" w:hAnsi="Arial Narrow"/>
                <w:bCs/>
                <w:color w:val="000000" w:themeColor="text1"/>
                <w:lang w:val="es-CO"/>
              </w:rPr>
              <w:t>liquidatorio</w:t>
            </w:r>
            <w:proofErr w:type="spellEnd"/>
            <w:r w:rsidRPr="009D263D">
              <w:rPr>
                <w:rFonts w:ascii="Arial Narrow" w:hAnsi="Arial Narrow"/>
                <w:bCs/>
                <w:color w:val="000000" w:themeColor="text1"/>
                <w:lang w:val="es-CO"/>
              </w:rPr>
              <w:t xml:space="preserve"> que determinaron desconociendo la prevalencia de los recursos del sistema, ya que como bien lo señala el Consejo de Estado, los mismos no pueden carecer de control por parte de la jurisdicción ante la inexistencia de la persona jurídica que los expidió, para lo cual expuso:  </w:t>
            </w:r>
          </w:p>
          <w:p w14:paraId="38809341"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379DEB92" w14:textId="77777777" w:rsidR="009D263D" w:rsidRPr="009D263D" w:rsidRDefault="009D263D" w:rsidP="000C1B06">
            <w:pPr>
              <w:ind w:left="873"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“Esta Sala, estudiados los argumentos esbozados en los autos de 28 de enero y 2  de junio de 2016, considera que es acertado señalar, de una parte, que los actos administrativos por medio de los cuales se califican créditos o se resuelven reclamaciones sobre tal calificación o cualquiera otros que se dicten en el curso del proceso de liquidación forzosa administrativa no pueden carecer de control por parte de esta jurisdicción por el hecho de que la entidad que los ha expedido haya terminado su existencia. Igualmente considera válido señalar que la existencia de los actos administrativos no depende de la existencia de la entidad que está siendo objeto del proceso de liquidación forzosa administrativa</w:t>
            </w:r>
            <w:r w:rsidRPr="009D263D">
              <w:rPr>
                <w:rFonts w:ascii="Arial Narrow" w:hAnsi="Arial Narrow"/>
                <w:bCs/>
                <w:i/>
                <w:color w:val="000000" w:themeColor="text1"/>
                <w:sz w:val="20"/>
                <w:szCs w:val="20"/>
                <w:vertAlign w:val="superscript"/>
                <w:lang w:val="es-CO"/>
              </w:rPr>
              <w:footnoteReference w:id="14"/>
            </w:r>
            <w:r w:rsidRPr="009D263D">
              <w:rPr>
                <w:rFonts w:ascii="Arial Narrow" w:hAnsi="Arial Narrow"/>
                <w:bCs/>
                <w:i/>
                <w:color w:val="000000" w:themeColor="text1"/>
                <w:sz w:val="20"/>
                <w:szCs w:val="20"/>
                <w:lang w:val="es-CO"/>
              </w:rPr>
              <w:t xml:space="preserve">” </w:t>
            </w:r>
          </w:p>
          <w:p w14:paraId="40631A67"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34F8BD81" w14:textId="32E609F0" w:rsidR="009D263D" w:rsidRPr="009D263D" w:rsidRDefault="003737D7" w:rsidP="009D263D">
            <w:pPr>
              <w:ind w:left="476" w:right="567"/>
              <w:jc w:val="both"/>
              <w:rPr>
                <w:rFonts w:ascii="Arial Narrow" w:hAnsi="Arial Narrow"/>
                <w:bCs/>
                <w:color w:val="000000" w:themeColor="text1"/>
                <w:lang w:val="es-CO"/>
              </w:rPr>
            </w:pPr>
            <w:r>
              <w:rPr>
                <w:rFonts w:ascii="Arial Narrow" w:hAnsi="Arial Narrow"/>
                <w:bCs/>
                <w:color w:val="000000" w:themeColor="text1"/>
                <w:lang w:val="es-CO"/>
              </w:rPr>
              <w:t>Aunado a lo anterior</w:t>
            </w:r>
            <w:r w:rsidR="009D263D" w:rsidRPr="009D263D">
              <w:rPr>
                <w:rFonts w:ascii="Arial Narrow" w:hAnsi="Arial Narrow"/>
                <w:bCs/>
                <w:color w:val="000000" w:themeColor="text1"/>
                <w:lang w:val="es-CO"/>
              </w:rPr>
              <w:t xml:space="preserve">, la Superintendencia Nacional de Salud el 28 de enero del 2022 expidió la Circular Externa 2022151000000001-5 la cual indicó que los recursos a favor de la ADRES están excluidos de la masa de liquidación, así como también manifestó que la Resolución 574 del 2017 proferida por el Ministerio de Salud y Protección Social es un acto administrativo general, abstracto e impersonal que se encuentra vigente y es de obligatorio cumplimiento para los Agentes Liquidadores. </w:t>
            </w:r>
          </w:p>
          <w:p w14:paraId="458AE0C5"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7BDDB669"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En capítulo </w:t>
            </w:r>
            <w:r w:rsidRPr="009D263D">
              <w:rPr>
                <w:rFonts w:ascii="Arial Narrow" w:hAnsi="Arial Narrow"/>
                <w:b/>
                <w:bCs/>
                <w:color w:val="000000" w:themeColor="text1"/>
                <w:lang w:val="es-CO"/>
              </w:rPr>
              <w:t>III. SANCIONES</w:t>
            </w:r>
            <w:r w:rsidRPr="009D263D">
              <w:rPr>
                <w:rFonts w:ascii="Arial Narrow" w:hAnsi="Arial Narrow"/>
                <w:bCs/>
                <w:color w:val="000000" w:themeColor="text1"/>
                <w:lang w:val="es-CO"/>
              </w:rPr>
              <w:t xml:space="preserve"> de dicha circular, se dispuso:  </w:t>
            </w:r>
          </w:p>
          <w:p w14:paraId="03ABD9FA"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72D5FACC" w14:textId="77777777" w:rsidR="009D263D" w:rsidRPr="009D263D" w:rsidRDefault="009D263D" w:rsidP="003737D7">
            <w:pPr>
              <w:ind w:left="873" w:right="567"/>
              <w:jc w:val="both"/>
              <w:rPr>
                <w:rFonts w:ascii="Arial Narrow" w:hAnsi="Arial Narrow"/>
                <w:bCs/>
                <w:iCs/>
                <w:color w:val="000000" w:themeColor="text1"/>
                <w:sz w:val="20"/>
                <w:szCs w:val="20"/>
                <w:lang w:val="es-CO"/>
              </w:rPr>
            </w:pPr>
            <w:r w:rsidRPr="009D263D">
              <w:rPr>
                <w:rFonts w:ascii="Arial Narrow" w:hAnsi="Arial Narrow"/>
                <w:bCs/>
                <w:iCs/>
                <w:color w:val="000000" w:themeColor="text1"/>
                <w:sz w:val="20"/>
                <w:szCs w:val="20"/>
                <w:lang w:val="es-CO"/>
              </w:rPr>
              <w:t xml:space="preserve">“De conformidad con lo establecido los artículos 130 y 131 de la Ley 1438 de 2011, modificados por los artículos 2 y 3 de la Ley 1949 de 2019, la inobservancia e incumplimiento de las instrucciones impartidas en esta Circular, dará lugar al inicio de procesos administrativos sancionatorios, sin perjuicio de las demás responsabilidades disciplinarias, fiscales, penales o civiles que puedan derivarse y las sanciones que puedan imponer otras autoridades judiciales y/o administrativas”. </w:t>
            </w:r>
          </w:p>
          <w:p w14:paraId="1603600B"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lastRenderedPageBreak/>
              <w:t xml:space="preserve"> </w:t>
            </w:r>
          </w:p>
          <w:p w14:paraId="1A884A42"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No obstante, la superintendencia omitió respecto del caso que nos ocupa, adelantar las sanciones descritas ante el desconocimiento del agente liquidador de las normas que lo obligan al reconocimiento y pagos de sumas que se adeudan al sistema. </w:t>
            </w:r>
          </w:p>
          <w:p w14:paraId="791BA962" w14:textId="6F7BC5EE" w:rsidR="009D263D" w:rsidRPr="009D263D" w:rsidRDefault="009D263D" w:rsidP="00863D67">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353E1076" w14:textId="04991FCB"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r w:rsidR="00863D67">
              <w:rPr>
                <w:rFonts w:ascii="Arial Narrow" w:hAnsi="Arial Narrow"/>
                <w:bCs/>
                <w:color w:val="000000" w:themeColor="text1"/>
                <w:lang w:val="es-CO"/>
              </w:rPr>
              <w:t xml:space="preserve"> </w:t>
            </w:r>
            <w:r w:rsidRPr="009D263D">
              <w:rPr>
                <w:rFonts w:ascii="Arial Narrow" w:hAnsi="Arial Narrow"/>
                <w:b/>
                <w:bCs/>
                <w:color w:val="000000" w:themeColor="text1"/>
                <w:lang w:val="es-CO"/>
              </w:rPr>
              <w:t xml:space="preserve">VIOLACIÓN AL PRINCIPIO DE LEGALIDAD Y DE NORMAS SUPERIORES.  </w:t>
            </w:r>
          </w:p>
          <w:p w14:paraId="290A3C16"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08AFDAD5"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En relación con el principio de legalidad, debe puntualizarse que constituye uno de los elementos definitorios del Estado moderno, principio al que deben sujetarse todas las autoridades. Este es un componente axiológico de la Constitución Política de 1991, y dicta que el ejercicio del poder no puede corresponder a la voluntad particular de una persona, sino que debe obedecer al cumplimiento de normas previamente expedidas por los órganos de representación popular.  </w:t>
            </w:r>
          </w:p>
          <w:p w14:paraId="5D6AD1C1"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65FDB1AD" w14:textId="77777777" w:rsid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El principio de legalidad encuentra reflejo o concreción en los siguientes apartes constitucionales:  </w:t>
            </w:r>
          </w:p>
          <w:p w14:paraId="2CD17B15" w14:textId="77777777" w:rsidR="00307ACD" w:rsidRPr="009D263D" w:rsidRDefault="00307ACD" w:rsidP="009D263D">
            <w:pPr>
              <w:ind w:left="476" w:right="567"/>
              <w:jc w:val="both"/>
              <w:rPr>
                <w:rFonts w:ascii="Arial Narrow" w:hAnsi="Arial Narrow"/>
                <w:bCs/>
                <w:color w:val="000000" w:themeColor="text1"/>
                <w:lang w:val="es-CO"/>
              </w:rPr>
            </w:pPr>
          </w:p>
          <w:p w14:paraId="5308F96F" w14:textId="77777777" w:rsidR="00307ACD" w:rsidRDefault="009D263D" w:rsidP="00307ACD">
            <w:pPr>
              <w:pStyle w:val="Prrafodelista"/>
              <w:numPr>
                <w:ilvl w:val="0"/>
                <w:numId w:val="35"/>
              </w:numPr>
              <w:ind w:right="567"/>
              <w:jc w:val="both"/>
              <w:rPr>
                <w:rFonts w:ascii="Arial Narrow" w:hAnsi="Arial Narrow"/>
                <w:bCs/>
                <w:color w:val="000000" w:themeColor="text1"/>
                <w:lang w:val="es-CO"/>
              </w:rPr>
            </w:pPr>
            <w:r w:rsidRPr="00307ACD">
              <w:rPr>
                <w:rFonts w:ascii="Arial Narrow" w:hAnsi="Arial Narrow"/>
                <w:bCs/>
                <w:color w:val="000000" w:themeColor="text1"/>
                <w:lang w:val="es-CO"/>
              </w:rPr>
              <w:t xml:space="preserve">En el artículo 4 de la Constitución conforme al cual ninguna autoridad del Estado podrá ejercer funciones distintas de las que le atribuyen la Constitución y la ley, así mismo, puntualiza que la Constitución es norma de normas y que en todo caso de incompatibilidad entre la Constitución y la ley u otra norma jurídica, se aplicarán las disposiciones constitucionales. También impone el deber de los nacionales y de los extranjeros en Colombia acatar la Constitución y las leyes, y respetar y obedecer a las autoridades.  </w:t>
            </w:r>
          </w:p>
          <w:p w14:paraId="1E1C3606" w14:textId="77777777" w:rsidR="00307ACD" w:rsidRDefault="009D263D" w:rsidP="00307ACD">
            <w:pPr>
              <w:pStyle w:val="Prrafodelista"/>
              <w:numPr>
                <w:ilvl w:val="0"/>
                <w:numId w:val="35"/>
              </w:numPr>
              <w:ind w:right="567"/>
              <w:jc w:val="both"/>
              <w:rPr>
                <w:rFonts w:ascii="Arial Narrow" w:hAnsi="Arial Narrow"/>
                <w:bCs/>
                <w:color w:val="000000" w:themeColor="text1"/>
                <w:lang w:val="es-CO"/>
              </w:rPr>
            </w:pPr>
            <w:r w:rsidRPr="00307ACD">
              <w:rPr>
                <w:rFonts w:ascii="Arial Narrow" w:hAnsi="Arial Narrow"/>
                <w:bCs/>
                <w:color w:val="000000" w:themeColor="text1"/>
                <w:lang w:val="es-CO"/>
              </w:rPr>
              <w:t xml:space="preserve">El articulo 6 indica claramente que los servidores públicos serán responsables ante las autoridades por infringir la Constitución y las leyes y por omisión o extralimitación en el ejercicio de sus funciones. </w:t>
            </w:r>
          </w:p>
          <w:p w14:paraId="726BAE8F" w14:textId="77777777" w:rsidR="00307ACD" w:rsidRDefault="009D263D" w:rsidP="00307ACD">
            <w:pPr>
              <w:pStyle w:val="Prrafodelista"/>
              <w:numPr>
                <w:ilvl w:val="0"/>
                <w:numId w:val="35"/>
              </w:numPr>
              <w:ind w:right="567"/>
              <w:jc w:val="both"/>
              <w:rPr>
                <w:rFonts w:ascii="Arial Narrow" w:hAnsi="Arial Narrow"/>
                <w:bCs/>
                <w:color w:val="000000" w:themeColor="text1"/>
                <w:lang w:val="es-CO"/>
              </w:rPr>
            </w:pPr>
            <w:r w:rsidRPr="00307ACD">
              <w:rPr>
                <w:rFonts w:ascii="Arial Narrow" w:hAnsi="Arial Narrow"/>
                <w:bCs/>
                <w:color w:val="000000" w:themeColor="text1"/>
                <w:lang w:val="es-CO"/>
              </w:rPr>
              <w:t>El artículo 121 de la Constitución dispone que ninguna autoridad del Estado podrá ejercer funciones distintas de las que le atribuyen la Constitución y la ley</w:t>
            </w:r>
            <w:r w:rsidR="00307ACD">
              <w:rPr>
                <w:rFonts w:ascii="Arial Narrow" w:hAnsi="Arial Narrow"/>
                <w:bCs/>
                <w:color w:val="000000" w:themeColor="text1"/>
                <w:lang w:val="es-CO"/>
              </w:rPr>
              <w:t>.</w:t>
            </w:r>
          </w:p>
          <w:p w14:paraId="3975781F" w14:textId="75950EF4" w:rsidR="00307ACD" w:rsidRDefault="009D263D" w:rsidP="00307ACD">
            <w:pPr>
              <w:pStyle w:val="Prrafodelista"/>
              <w:numPr>
                <w:ilvl w:val="0"/>
                <w:numId w:val="35"/>
              </w:numPr>
              <w:ind w:right="567"/>
              <w:jc w:val="both"/>
              <w:rPr>
                <w:rFonts w:ascii="Arial Narrow" w:hAnsi="Arial Narrow"/>
                <w:bCs/>
                <w:color w:val="000000" w:themeColor="text1"/>
                <w:lang w:val="es-CO"/>
              </w:rPr>
            </w:pPr>
            <w:r w:rsidRPr="00307ACD">
              <w:rPr>
                <w:rFonts w:ascii="Arial Narrow" w:hAnsi="Arial Narrow"/>
                <w:bCs/>
                <w:color w:val="000000" w:themeColor="text1"/>
                <w:lang w:val="es-CO"/>
              </w:rPr>
              <w:t xml:space="preserve">El artículo 122 que establece que no habrá empleo público que no tenga funciones detalladas en la ley o reglamento,  </w:t>
            </w:r>
          </w:p>
          <w:p w14:paraId="7019DE25" w14:textId="77777777" w:rsidR="00307ACD" w:rsidRDefault="009D263D" w:rsidP="00307ACD">
            <w:pPr>
              <w:pStyle w:val="Prrafodelista"/>
              <w:numPr>
                <w:ilvl w:val="0"/>
                <w:numId w:val="35"/>
              </w:numPr>
              <w:ind w:right="567"/>
              <w:jc w:val="both"/>
              <w:rPr>
                <w:rFonts w:ascii="Arial Narrow" w:hAnsi="Arial Narrow"/>
                <w:bCs/>
                <w:color w:val="000000" w:themeColor="text1"/>
                <w:lang w:val="es-CO"/>
              </w:rPr>
            </w:pPr>
            <w:r w:rsidRPr="00307ACD">
              <w:rPr>
                <w:rFonts w:ascii="Arial Narrow" w:hAnsi="Arial Narrow"/>
                <w:bCs/>
                <w:color w:val="000000" w:themeColor="text1"/>
                <w:lang w:val="es-CO"/>
              </w:rPr>
              <w:t xml:space="preserve">En el segundo inciso del artículo 123 de la Constitución que establece que los servidores públicos ejercerán sus funciones en la forma prevista por la Constitución, la ley y el reglamento y  </w:t>
            </w:r>
          </w:p>
          <w:p w14:paraId="463EED64" w14:textId="01A69E77" w:rsidR="009D263D" w:rsidRPr="00307ACD" w:rsidRDefault="009D263D" w:rsidP="00307ACD">
            <w:pPr>
              <w:pStyle w:val="Prrafodelista"/>
              <w:numPr>
                <w:ilvl w:val="0"/>
                <w:numId w:val="35"/>
              </w:numPr>
              <w:ind w:right="567"/>
              <w:jc w:val="both"/>
              <w:rPr>
                <w:rFonts w:ascii="Arial Narrow" w:hAnsi="Arial Narrow"/>
                <w:bCs/>
                <w:color w:val="000000" w:themeColor="text1"/>
                <w:lang w:val="es-CO"/>
              </w:rPr>
            </w:pPr>
            <w:r w:rsidRPr="00307ACD">
              <w:rPr>
                <w:rFonts w:ascii="Arial Narrow" w:hAnsi="Arial Narrow"/>
                <w:bCs/>
                <w:color w:val="000000" w:themeColor="text1"/>
                <w:lang w:val="es-CO"/>
              </w:rPr>
              <w:t xml:space="preserve">En el artículo 230 al prever que los jueces, en sus providencias, solo están sometidos al imperio de la ley.  </w:t>
            </w:r>
          </w:p>
          <w:p w14:paraId="7725E19A" w14:textId="77777777" w:rsidR="009D263D" w:rsidRPr="009D263D" w:rsidRDefault="009D263D" w:rsidP="00307ACD">
            <w:pPr>
              <w:ind w:left="731"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7AB73A64" w14:textId="77777777" w:rsidR="007B0F4B" w:rsidRDefault="009D263D" w:rsidP="007B0F4B">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De este modo, el principio constitucional de legalidad exige que la actuación de las diferentes autoridades tenga una cobertura normativa suficiente o, lo que es lo mismo, esté basada en una norma habilitante de competencia, que confiera el poder suficiente para adoptar una determinada decisión.  </w:t>
            </w:r>
          </w:p>
          <w:p w14:paraId="7DF87077" w14:textId="77777777" w:rsidR="007B0F4B" w:rsidRDefault="007B0F4B" w:rsidP="007B0F4B">
            <w:pPr>
              <w:ind w:left="476" w:right="567"/>
              <w:jc w:val="both"/>
              <w:rPr>
                <w:rFonts w:ascii="Arial Narrow" w:hAnsi="Arial Narrow"/>
                <w:bCs/>
                <w:color w:val="000000" w:themeColor="text1"/>
                <w:lang w:val="es-CO"/>
              </w:rPr>
            </w:pPr>
          </w:p>
          <w:p w14:paraId="17BDCD26" w14:textId="7F1B26C5" w:rsidR="007B0F4B" w:rsidRDefault="009D263D" w:rsidP="007B0F4B">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Como señala García de Enterría</w:t>
            </w:r>
            <w:r w:rsidR="009C2E43">
              <w:rPr>
                <w:rStyle w:val="Refdenotaalpie"/>
                <w:rFonts w:ascii="Arial Narrow" w:hAnsi="Arial Narrow"/>
                <w:bCs/>
                <w:color w:val="000000" w:themeColor="text1"/>
                <w:lang w:val="es-CO"/>
              </w:rPr>
              <w:footnoteReference w:id="15"/>
            </w:r>
            <w:r w:rsidRPr="009D263D">
              <w:rPr>
                <w:rFonts w:ascii="Arial Narrow" w:hAnsi="Arial Narrow"/>
                <w:bCs/>
                <w:color w:val="000000" w:themeColor="text1"/>
                <w:lang w:val="es-CO"/>
              </w:rPr>
              <w:t xml:space="preserve">, en virtud del principio de legalidad el ordenamiento jurídico </w:t>
            </w:r>
            <w:r w:rsidRPr="009D263D">
              <w:rPr>
                <w:rFonts w:ascii="Arial Narrow" w:hAnsi="Arial Narrow"/>
                <w:bCs/>
                <w:i/>
                <w:color w:val="000000" w:themeColor="text1"/>
                <w:lang w:val="es-CO"/>
              </w:rPr>
              <w:t>“otorga facultades de actuación, definiendo cuidadosamente sus límites”</w:t>
            </w:r>
            <w:r w:rsidRPr="009D263D">
              <w:rPr>
                <w:rFonts w:ascii="Arial Narrow" w:hAnsi="Arial Narrow"/>
                <w:bCs/>
                <w:color w:val="000000" w:themeColor="text1"/>
                <w:lang w:val="es-CO"/>
              </w:rPr>
              <w:t xml:space="preserve">, de modo que </w:t>
            </w:r>
            <w:r w:rsidRPr="009D263D">
              <w:rPr>
                <w:rFonts w:ascii="Arial Narrow" w:hAnsi="Arial Narrow"/>
                <w:bCs/>
                <w:i/>
                <w:color w:val="000000" w:themeColor="text1"/>
                <w:lang w:val="es-CO"/>
              </w:rPr>
              <w:t>“habilita a la Administración para su acción confiriéndole al efecto poderes jurídicos”.</w:t>
            </w:r>
            <w:r w:rsidRPr="009D263D">
              <w:rPr>
                <w:rFonts w:ascii="Arial Narrow" w:hAnsi="Arial Narrow"/>
                <w:bCs/>
                <w:color w:val="000000" w:themeColor="text1"/>
                <w:lang w:val="es-CO"/>
              </w:rPr>
              <w:t xml:space="preserve">  </w:t>
            </w:r>
          </w:p>
          <w:p w14:paraId="672573A8" w14:textId="77777777" w:rsidR="007B0F4B" w:rsidRDefault="007B0F4B" w:rsidP="007B0F4B">
            <w:pPr>
              <w:ind w:left="476" w:right="567"/>
              <w:jc w:val="both"/>
              <w:rPr>
                <w:rFonts w:ascii="Arial Narrow" w:hAnsi="Arial Narrow"/>
                <w:bCs/>
                <w:color w:val="000000" w:themeColor="text1"/>
                <w:lang w:val="es-CO"/>
              </w:rPr>
            </w:pPr>
          </w:p>
          <w:p w14:paraId="57C96E3F" w14:textId="6773F907" w:rsidR="009D263D" w:rsidRPr="009D263D" w:rsidRDefault="009D263D" w:rsidP="007B0F4B">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Respecto a la jerarquía normativa, a la unidad, coherencia y armonía del Sistema Jurídico, la Corte Constitucional en Sentencia C - 037 de 2000 dispuso lo siguiente:  </w:t>
            </w:r>
          </w:p>
          <w:p w14:paraId="65974B5D"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7D5552D0" w14:textId="658C86DD" w:rsidR="009D263D" w:rsidRPr="009D263D" w:rsidRDefault="009D263D" w:rsidP="009C2E43">
            <w:pPr>
              <w:ind w:left="873"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 El ordenamiento jurídico colombiano supone una jerarquía normativa que emana de la propia Constitución. Si bien ella no contiene disposición expresa que determine dicho orden, de su articulado puede deducirse su existencia, así no siempre resulte sencilla esta tarea. En efecto, diversas disposiciones superiores se refieren a la sujeción de cierto rango de normas frente a otras. Además de ser evidente que las normas constitucionales ocupan, sin discusión, el primer lugar dentro de la jerarquía del ordenamiento jurídico, dentro de la propia Carta, no todas las normas son igualmente prevalentes. Pero más allá de la supremacía constitucional, de la propia Carta también se desprende que las leyes expedidas por el Congreso dentro de la órbita de competencias que le asigna la Constitución ocupan, en principio, una posición prevalente en la escala normativa frente al resto del ordenamiento jurídico. Así las cosas, tenemos que los actos administrativos de contenido normativo deben tener por objeto el obedecimiento y cumplimiento de la ley, de donde se deduce su sujeción a aquella. Tenemos entonces que, de manera general, </w:t>
            </w:r>
            <w:r w:rsidRPr="009D263D">
              <w:rPr>
                <w:rFonts w:ascii="Arial Narrow" w:hAnsi="Arial Narrow"/>
                <w:bCs/>
                <w:i/>
                <w:color w:val="000000" w:themeColor="text1"/>
                <w:sz w:val="20"/>
                <w:szCs w:val="20"/>
                <w:lang w:val="es-CO"/>
              </w:rPr>
              <w:lastRenderedPageBreak/>
              <w:t xml:space="preserve">la normatividad jurídica emanada de autoridades administrativas o de entes autónomos, debe acatar las disposiciones de la ley, tanto en su sentido material como formal.  </w:t>
            </w:r>
          </w:p>
          <w:p w14:paraId="4D56FFCE" w14:textId="77777777" w:rsidR="009D263D" w:rsidRPr="009D263D" w:rsidRDefault="009D263D" w:rsidP="009C2E43">
            <w:pPr>
              <w:ind w:left="873"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 </w:t>
            </w:r>
          </w:p>
          <w:p w14:paraId="1DA0609F" w14:textId="77777777" w:rsidR="009D263D" w:rsidRPr="009D263D" w:rsidRDefault="009D263D" w:rsidP="009C2E43">
            <w:pPr>
              <w:ind w:left="873"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w:t>
            </w:r>
            <w:r w:rsidRPr="009D263D">
              <w:rPr>
                <w:rFonts w:ascii="Arial Narrow" w:hAnsi="Arial Narrow"/>
                <w:bCs/>
                <w:color w:val="000000" w:themeColor="text1"/>
                <w:sz w:val="20"/>
                <w:szCs w:val="20"/>
                <w:lang w:val="es-CO"/>
              </w:rPr>
              <w:t xml:space="preserve">  </w:t>
            </w:r>
          </w:p>
          <w:p w14:paraId="2CA784FC" w14:textId="77777777" w:rsidR="009D263D" w:rsidRPr="009D263D" w:rsidRDefault="009D263D" w:rsidP="009C2E43">
            <w:pPr>
              <w:ind w:left="873" w:right="567"/>
              <w:jc w:val="both"/>
              <w:rPr>
                <w:rFonts w:ascii="Arial Narrow" w:hAnsi="Arial Narrow"/>
                <w:bCs/>
                <w:color w:val="000000" w:themeColor="text1"/>
                <w:sz w:val="20"/>
                <w:szCs w:val="20"/>
                <w:lang w:val="es-CO"/>
              </w:rPr>
            </w:pPr>
            <w:r w:rsidRPr="009D263D">
              <w:rPr>
                <w:rFonts w:ascii="Arial Narrow" w:hAnsi="Arial Narrow"/>
                <w:bCs/>
                <w:color w:val="000000" w:themeColor="text1"/>
                <w:sz w:val="20"/>
                <w:szCs w:val="20"/>
                <w:lang w:val="es-CO"/>
              </w:rPr>
              <w:t xml:space="preserve"> </w:t>
            </w:r>
          </w:p>
          <w:p w14:paraId="31A58D7E" w14:textId="77777777" w:rsidR="009D263D" w:rsidRPr="009D263D" w:rsidRDefault="009D263D" w:rsidP="009C2E43">
            <w:pPr>
              <w:ind w:left="873"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La unidad del sistema jurídico, y su coherencia y armonía, dependen de la característica de ordenamiento de tipo jerárquico de que se reviste. La jerarquía de las normas hace que aquellas de rango superior, con la Carta Fundamental a la cabeza, sean la fuente de validez de las que les siguen en dicha escala jerárquica. Las de inferior categoría, deben resultar acordes con las superiores, y desarrollarlas en sus posibles aplicaciones de grado más particular. En esto consiste la connotación de sistema de que se reviste el ordenamiento, que garantiza su coherencia interna. La finalidad de esta armonía explícitamente </w:t>
            </w:r>
            <w:proofErr w:type="gramStart"/>
            <w:r w:rsidRPr="009D263D">
              <w:rPr>
                <w:rFonts w:ascii="Arial Narrow" w:hAnsi="Arial Narrow"/>
                <w:bCs/>
                <w:i/>
                <w:color w:val="000000" w:themeColor="text1"/>
                <w:sz w:val="20"/>
                <w:szCs w:val="20"/>
                <w:lang w:val="es-CO"/>
              </w:rPr>
              <w:t>buscada,</w:t>
            </w:r>
            <w:proofErr w:type="gramEnd"/>
            <w:r w:rsidRPr="009D263D">
              <w:rPr>
                <w:rFonts w:ascii="Arial Narrow" w:hAnsi="Arial Narrow"/>
                <w:bCs/>
                <w:i/>
                <w:color w:val="000000" w:themeColor="text1"/>
                <w:sz w:val="20"/>
                <w:szCs w:val="20"/>
                <w:lang w:val="es-CO"/>
              </w:rPr>
              <w:t xml:space="preserve"> no es otra que la de establecer un orden que permita regular conforme a un mismo sistema axiológico, las distintas situaciones de hecho llamadas a ser normadas por el ordenamiento jurídico.” </w:t>
            </w:r>
            <w:r w:rsidRPr="009D263D">
              <w:rPr>
                <w:rFonts w:ascii="Arial Narrow" w:hAnsi="Arial Narrow"/>
                <w:bCs/>
                <w:color w:val="000000" w:themeColor="text1"/>
                <w:sz w:val="20"/>
                <w:szCs w:val="20"/>
                <w:lang w:val="es-CO"/>
              </w:rPr>
              <w:t xml:space="preserve"> </w:t>
            </w:r>
          </w:p>
          <w:p w14:paraId="3731DB5D"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527EDC82" w14:textId="77777777" w:rsidR="00ED105A" w:rsidRDefault="009D263D" w:rsidP="00ED105A">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El acto sujeto a control a su vez es violatorio del artículo 48 de la Constitución Política, el cual otorga especial protección y destinación específica a los recursos del Sistema General de Seguridad Social en Salud, razón por la cual no pueden ser utilizados para fines diferentes. Por su parte, el artículo 4 Ibidem establece la supremacía de la constitución, como se entra a detallar a continuación:  </w:t>
            </w:r>
          </w:p>
          <w:p w14:paraId="54535C45" w14:textId="77777777" w:rsidR="00ED105A" w:rsidRDefault="00ED105A" w:rsidP="00ED105A">
            <w:pPr>
              <w:ind w:left="476" w:right="567"/>
              <w:jc w:val="both"/>
              <w:rPr>
                <w:rFonts w:ascii="Arial Narrow" w:hAnsi="Arial Narrow"/>
                <w:bCs/>
                <w:color w:val="000000" w:themeColor="text1"/>
                <w:lang w:val="es-CO"/>
              </w:rPr>
            </w:pPr>
          </w:p>
          <w:p w14:paraId="66A22D7E" w14:textId="67DE403D" w:rsidR="009D263D" w:rsidRPr="009D263D" w:rsidRDefault="009D263D" w:rsidP="00ED105A">
            <w:pPr>
              <w:ind w:left="873"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w:t>
            </w:r>
            <w:r w:rsidRPr="009D263D">
              <w:rPr>
                <w:rFonts w:ascii="Arial Narrow" w:hAnsi="Arial Narrow"/>
                <w:b/>
                <w:bCs/>
                <w:i/>
                <w:color w:val="000000" w:themeColor="text1"/>
                <w:sz w:val="20"/>
                <w:szCs w:val="20"/>
                <w:lang w:val="es-CO"/>
              </w:rPr>
              <w:t xml:space="preserve">ARTICULO 4. La Constitución es norma de normas. </w:t>
            </w:r>
            <w:r w:rsidRPr="009D263D">
              <w:rPr>
                <w:rFonts w:ascii="Arial Narrow" w:hAnsi="Arial Narrow"/>
                <w:bCs/>
                <w:i/>
                <w:color w:val="000000" w:themeColor="text1"/>
                <w:sz w:val="20"/>
                <w:szCs w:val="20"/>
                <w:lang w:val="es-CO"/>
              </w:rPr>
              <w:t>En todo caso de incompatibilidad entre la Constitución y la ley u otra norma jurídica, se aplicarán las disposiciones constitucionales. Es deber de los nacionales y de los extranjeros en Colombia acatar la Constitución y las leyes, y respetar y obedecer a las autoridades.” (Negrillas fuera de texto).</w:t>
            </w:r>
            <w:r w:rsidRPr="009D263D">
              <w:rPr>
                <w:rFonts w:ascii="Arial Narrow" w:hAnsi="Arial Narrow"/>
                <w:bCs/>
                <w:color w:val="000000" w:themeColor="text1"/>
                <w:sz w:val="20"/>
                <w:szCs w:val="20"/>
                <w:lang w:val="es-CO"/>
              </w:rPr>
              <w:t xml:space="preserve"> </w:t>
            </w:r>
          </w:p>
          <w:p w14:paraId="76B82518" w14:textId="77777777" w:rsidR="009D263D" w:rsidRPr="009D263D" w:rsidRDefault="009D263D" w:rsidP="00ED105A">
            <w:pPr>
              <w:ind w:left="873"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 </w:t>
            </w:r>
          </w:p>
          <w:p w14:paraId="11740042" w14:textId="77777777" w:rsid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Es de anotar, que el artículo 48 de la Carta no constituye una norma abstracta sin fuerza normativa directa, sino que, por el contrario, prevé reglas positivas particulares con efecto inmediato, que determinan consecuencias jurídicas verificables, esto es, que los recursos públicos con que cuenta el Estado para garantizar la prestación de servicios de salud sean destinados exclusivamente a tal fin.  </w:t>
            </w:r>
          </w:p>
          <w:p w14:paraId="5AA0DE19" w14:textId="77777777" w:rsidR="00ED105A" w:rsidRPr="009D263D" w:rsidRDefault="00ED105A" w:rsidP="009D263D">
            <w:pPr>
              <w:ind w:left="476" w:right="567"/>
              <w:jc w:val="both"/>
              <w:rPr>
                <w:rFonts w:ascii="Arial Narrow" w:hAnsi="Arial Narrow"/>
                <w:bCs/>
                <w:color w:val="000000" w:themeColor="text1"/>
                <w:lang w:val="es-CO"/>
              </w:rPr>
            </w:pPr>
          </w:p>
          <w:p w14:paraId="2A3AA53E"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De acuerdo con lo expuesto, debe indicarse al Despacho que en la expedición de las Resoluciones </w:t>
            </w:r>
            <w:r w:rsidRPr="009D263D">
              <w:rPr>
                <w:rFonts w:ascii="Arial Narrow" w:hAnsi="Arial Narrow"/>
                <w:b/>
                <w:bCs/>
                <w:color w:val="000000" w:themeColor="text1"/>
                <w:lang w:val="es-CO"/>
              </w:rPr>
              <w:t>No. A-007549 DEL 25 DE OCTUBRE DE 2022 Y No. A-009593 DEL 22 DE DICIEMBRE DE 2022,</w:t>
            </w:r>
            <w:r w:rsidRPr="009D263D">
              <w:rPr>
                <w:rFonts w:ascii="Arial Narrow" w:hAnsi="Arial Narrow"/>
                <w:bCs/>
                <w:color w:val="000000" w:themeColor="text1"/>
                <w:lang w:val="es-CO"/>
              </w:rPr>
              <w:t xml:space="preserve"> se echa de menos el cumplimiento del principio de legalidad, así mismo, resultaron violadas normas superiores y normas específicas que el acto demandado debía cumplir de manera imperativa dada la naturaleza jurídica de los recursos que se reclaman y por supuesto la naturaleza jurídica en cabeza de la ADRES. </w:t>
            </w:r>
          </w:p>
          <w:p w14:paraId="45CE36D5" w14:textId="36C621D1" w:rsidR="009D263D" w:rsidRPr="009D263D" w:rsidRDefault="009D263D" w:rsidP="00BA1CDF">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131A762E" w14:textId="5A1B7561"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r w:rsidRPr="009D263D">
              <w:rPr>
                <w:rFonts w:ascii="Arial Narrow" w:hAnsi="Arial Narrow"/>
                <w:b/>
                <w:bCs/>
                <w:color w:val="000000" w:themeColor="text1"/>
                <w:lang w:val="es-CO"/>
              </w:rPr>
              <w:t xml:space="preserve">INFRACCIÓN DE LAS NORMAS EN LAS QUE DEBÍA FUNDARSE LOS ACTOS ADMINISTRATIVOS  </w:t>
            </w:r>
          </w:p>
          <w:p w14:paraId="79346C4B"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
                <w:bCs/>
                <w:color w:val="000000" w:themeColor="text1"/>
                <w:lang w:val="es-CO"/>
              </w:rPr>
              <w:t xml:space="preserve"> </w:t>
            </w:r>
          </w:p>
          <w:p w14:paraId="6B2B722E"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El artículo 25 de la Ley 1751 de 2015 precisó que </w:t>
            </w:r>
            <w:r w:rsidRPr="009D263D">
              <w:rPr>
                <w:rFonts w:ascii="Arial Narrow" w:hAnsi="Arial Narrow"/>
                <w:bCs/>
                <w:i/>
                <w:color w:val="000000" w:themeColor="text1"/>
                <w:lang w:val="es-CO"/>
              </w:rPr>
              <w:t xml:space="preserve">“[l]os recursos públicos que financian la salud son inembargables, tienen destinación específica y no podrán ser dirigidos a fines diferentes a los previstos constitucional y legalmente.” </w:t>
            </w:r>
            <w:r w:rsidRPr="009D263D">
              <w:rPr>
                <w:rFonts w:ascii="Arial Narrow" w:hAnsi="Arial Narrow"/>
                <w:bCs/>
                <w:color w:val="000000" w:themeColor="text1"/>
                <w:lang w:val="es-CO"/>
              </w:rPr>
              <w:t xml:space="preserve"> </w:t>
            </w:r>
          </w:p>
          <w:p w14:paraId="7CC82F24"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26C56F97" w14:textId="162ABD58"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Así mismo, el artículo 2.6.4.1.5. del Decreto 780 de 2016 señala que </w:t>
            </w:r>
            <w:r w:rsidRPr="009D263D">
              <w:rPr>
                <w:rFonts w:ascii="Arial Narrow" w:hAnsi="Arial Narrow"/>
                <w:bCs/>
                <w:i/>
                <w:color w:val="000000" w:themeColor="text1"/>
                <w:lang w:val="es-CO"/>
              </w:rPr>
              <w:t>“(…) Los recursos de la seguridad social en salud son de naturaleza fiscal y parafiscal (…).”</w:t>
            </w:r>
            <w:r w:rsidRPr="009D263D">
              <w:rPr>
                <w:rFonts w:ascii="Arial Narrow" w:hAnsi="Arial Narrow"/>
                <w:bCs/>
                <w:color w:val="000000" w:themeColor="text1"/>
                <w:lang w:val="es-CO"/>
              </w:rPr>
              <w:t xml:space="preserve">  </w:t>
            </w:r>
          </w:p>
          <w:p w14:paraId="7F56C2E7"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3E8009F6"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Respecto a la parafiscalidad de los recursos del Sistema General de Seguridad Social en Salud, en sentencia C-1040 de 2003, la Honorable Corte Constitucional destacó:  </w:t>
            </w:r>
          </w:p>
          <w:p w14:paraId="510AE786"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2A60F29F" w14:textId="77777777" w:rsidR="009D263D" w:rsidRPr="009D263D" w:rsidRDefault="009D263D" w:rsidP="008D597D">
            <w:pPr>
              <w:ind w:left="873" w:right="567" w:hanging="3"/>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3. Dado su carácter parafiscal, los recursos de la seguridad social en salud tienen destinación específica, esto es, no pueden ser empleados para fines diferentes a la seguridad social. Así lo establece expresamente el artículo 48 de la Carta Política al disponer que “No se podrán destinar ni utilizar los recursos de las instituciones de la Seguridad Social para fines diferentes a ella”.</w:t>
            </w:r>
            <w:r w:rsidRPr="009D263D">
              <w:rPr>
                <w:rFonts w:ascii="Arial Narrow" w:hAnsi="Arial Narrow"/>
                <w:bCs/>
                <w:color w:val="000000" w:themeColor="text1"/>
                <w:sz w:val="20"/>
                <w:szCs w:val="20"/>
                <w:lang w:val="es-CO"/>
              </w:rPr>
              <w:t xml:space="preserve"> </w:t>
            </w:r>
            <w:r w:rsidRPr="009D263D">
              <w:rPr>
                <w:rFonts w:ascii="Arial Narrow" w:hAnsi="Arial Narrow"/>
                <w:bCs/>
                <w:i/>
                <w:color w:val="000000" w:themeColor="text1"/>
                <w:sz w:val="20"/>
                <w:szCs w:val="20"/>
                <w:lang w:val="es-CO"/>
              </w:rPr>
              <w:t xml:space="preserve">Sobre el alcance de esta cláusula constitucional la jurisprudencia constitucional ha dicho: “Se trata de una norma fundamental de indudable carácter imperativo y absoluto respecto del cual no se contemplan excepciones, ni se permite supeditar su cumplimiento —de aplicación inmediata— a previsiones o restricciones de jerarquía legal. </w:t>
            </w:r>
            <w:r w:rsidRPr="009D263D">
              <w:rPr>
                <w:rFonts w:ascii="Arial Narrow" w:hAnsi="Arial Narrow"/>
                <w:bCs/>
                <w:color w:val="000000" w:themeColor="text1"/>
                <w:sz w:val="20"/>
                <w:szCs w:val="20"/>
                <w:lang w:val="es-CO"/>
              </w:rPr>
              <w:t xml:space="preserve"> </w:t>
            </w:r>
          </w:p>
          <w:p w14:paraId="644889AA" w14:textId="77777777" w:rsidR="009D263D" w:rsidRPr="009D263D" w:rsidRDefault="009D263D" w:rsidP="008D597D">
            <w:pPr>
              <w:ind w:left="873" w:right="567" w:hanging="3"/>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 </w:t>
            </w:r>
          </w:p>
          <w:p w14:paraId="4DD618AC" w14:textId="77777777" w:rsidR="009D263D" w:rsidRPr="009D263D" w:rsidRDefault="009D263D" w:rsidP="008D597D">
            <w:pPr>
              <w:ind w:left="873" w:right="567" w:hanging="3"/>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“Por tanto, la calidad superior y prevalente del mandato constitucional desplaza toda norma inferior que pueda desvirtuar sus alcances, y, si alguien llegase a invocar con tal objeto las disposiciones de la ley en materia de liquidación forzosa de las </w:t>
            </w:r>
            <w:r w:rsidRPr="009D263D">
              <w:rPr>
                <w:rFonts w:ascii="Arial Narrow" w:hAnsi="Arial Narrow"/>
                <w:bCs/>
                <w:i/>
                <w:color w:val="000000" w:themeColor="text1"/>
                <w:sz w:val="20"/>
                <w:szCs w:val="20"/>
                <w:lang w:val="es-CO"/>
              </w:rPr>
              <w:lastRenderedPageBreak/>
              <w:t xml:space="preserve">instituciones financieras, deben ser ellas inaplicadas, para, en su lugar, hacer que valga el enunciado precepto de la Constitución, según lo dispone el 4 </w:t>
            </w:r>
            <w:proofErr w:type="spellStart"/>
            <w:r w:rsidRPr="009D263D">
              <w:rPr>
                <w:rFonts w:ascii="Arial Narrow" w:hAnsi="Arial Narrow"/>
                <w:bCs/>
                <w:i/>
                <w:color w:val="000000" w:themeColor="text1"/>
                <w:sz w:val="20"/>
                <w:szCs w:val="20"/>
                <w:lang w:val="es-CO"/>
              </w:rPr>
              <w:t>Ibídem</w:t>
            </w:r>
            <w:proofErr w:type="spellEnd"/>
            <w:r w:rsidRPr="009D263D">
              <w:rPr>
                <w:rFonts w:ascii="Arial Narrow" w:hAnsi="Arial Narrow"/>
                <w:bCs/>
                <w:i/>
                <w:color w:val="000000" w:themeColor="text1"/>
                <w:sz w:val="20"/>
                <w:szCs w:val="20"/>
                <w:lang w:val="es-CO"/>
              </w:rPr>
              <w:t xml:space="preserve">, en virtud de la inocultable incompatibilidad existente.”. </w:t>
            </w:r>
          </w:p>
          <w:p w14:paraId="297D5720"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i/>
                <w:color w:val="000000" w:themeColor="text1"/>
                <w:lang w:val="es-CO"/>
              </w:rPr>
              <w:t xml:space="preserve"> </w:t>
            </w:r>
          </w:p>
          <w:p w14:paraId="48843BE5"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En relación con la naturaleza jurídica de los recursos de la Seguridad Social en Salud, al estudiar la constitucionalidad de la expresión </w:t>
            </w:r>
            <w:r w:rsidRPr="009D263D">
              <w:rPr>
                <w:rFonts w:ascii="Arial Narrow" w:hAnsi="Arial Narrow"/>
                <w:bCs/>
                <w:i/>
                <w:color w:val="000000" w:themeColor="text1"/>
                <w:lang w:val="es-CO"/>
              </w:rPr>
              <w:t>“ordenará el reintegro inmediato de los recursos”,</w:t>
            </w:r>
            <w:r w:rsidRPr="009D263D">
              <w:rPr>
                <w:rFonts w:ascii="Arial Narrow" w:hAnsi="Arial Narrow"/>
                <w:bCs/>
                <w:color w:val="000000" w:themeColor="text1"/>
                <w:lang w:val="es-CO"/>
              </w:rPr>
              <w:t xml:space="preserve"> contenida en el artículo 3 del Decreto Ley 1281 de 2002, la Corte Constitucional reiteró que en efecto tanto los de salud como los de pensiones </w:t>
            </w:r>
            <w:r w:rsidRPr="009D263D">
              <w:rPr>
                <w:rFonts w:ascii="Arial Narrow" w:hAnsi="Arial Narrow"/>
                <w:bCs/>
                <w:i/>
                <w:color w:val="000000" w:themeColor="text1"/>
                <w:lang w:val="es-CO"/>
              </w:rPr>
              <w:t>”(…) son en realidad contribuciones parafiscales de destinación específica, en cuanto constituyen un gravamen, fruto de la soberanía fiscal del Estado, que se cobra obligatoriamente a determinadas personas para satisfacer sus necesidades de salud y pensiones y que, al no comportar una contraprestación equivalente al monto de la tarifa fijada, se destinan también a la financiación global bien del Sistema General de Seguridad Social en Salud, bien del Sistema General de Seguridad Social en Pensiones (C-086/02, C-789/02)”.</w:t>
            </w:r>
            <w:r w:rsidRPr="009D263D">
              <w:rPr>
                <w:rFonts w:ascii="Arial Narrow" w:hAnsi="Arial Narrow"/>
                <w:bCs/>
                <w:i/>
                <w:color w:val="000000" w:themeColor="text1"/>
                <w:vertAlign w:val="superscript"/>
                <w:lang w:val="es-CO"/>
              </w:rPr>
              <w:footnoteReference w:id="16"/>
            </w:r>
            <w:r w:rsidRPr="009D263D">
              <w:rPr>
                <w:rFonts w:ascii="Arial Narrow" w:hAnsi="Arial Narrow"/>
                <w:bCs/>
                <w:color w:val="000000" w:themeColor="text1"/>
                <w:lang w:val="es-CO"/>
              </w:rPr>
              <w:t xml:space="preserve">  </w:t>
            </w:r>
          </w:p>
          <w:p w14:paraId="13FA8ECB"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0E44C9FB"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Igualmente puntualizó que los recursos </w:t>
            </w:r>
            <w:r w:rsidRPr="009D263D">
              <w:rPr>
                <w:rFonts w:ascii="Arial Narrow" w:hAnsi="Arial Narrow"/>
                <w:bCs/>
                <w:i/>
                <w:color w:val="000000" w:themeColor="text1"/>
                <w:lang w:val="es-CO"/>
              </w:rPr>
              <w:t xml:space="preserve">parafiscales “son recursos públicos, pertenecen al Estado, aunque están destinados a favorecer solamente al grupo, gremio o sector que los tributa”, por eso se invierten exclusivamente en beneficio de éstos. Significa lo anterior que las cotizaciones que hacen los usuarios del sistema de salud, al igual que, como ya se dijo, toda clase de tarifas, copagos, bonificaciones y similares y los aportes del presupuesto nacional, son dineros públicos que las EPS y el Fondo de Solidaridad y Garantía administran sin que en ningún instante se confundan ni con patrimonio de la EPS, ni con el presupuesto nacional o de entidades territoriales, porque no dependen de circunstancias distintas a la atención al afiliado.” </w:t>
            </w:r>
            <w:r w:rsidRPr="009D263D">
              <w:rPr>
                <w:rFonts w:ascii="Arial Narrow" w:hAnsi="Arial Narrow"/>
                <w:bCs/>
                <w:color w:val="000000" w:themeColor="text1"/>
                <w:lang w:val="es-CO"/>
              </w:rPr>
              <w:t xml:space="preserve"> </w:t>
            </w:r>
          </w:p>
          <w:p w14:paraId="0005598F"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68497F57"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Por último, señaló que </w:t>
            </w:r>
            <w:r w:rsidRPr="009D263D">
              <w:rPr>
                <w:rFonts w:ascii="Arial Narrow" w:hAnsi="Arial Narrow"/>
                <w:bCs/>
                <w:i/>
                <w:color w:val="000000" w:themeColor="text1"/>
                <w:lang w:val="es-CO"/>
              </w:rPr>
              <w:t>“El manejo, administración y ejecución de estos recursos se hará exclusivamente en la forma dispuesta en la ley que los crea y se destinarán sólo al objeto previsto en ella, lo mismo que los rendimientos y excedentes financieros que resulten del ejercicio contable.”</w:t>
            </w:r>
            <w:r w:rsidRPr="009D263D">
              <w:rPr>
                <w:rFonts w:ascii="Arial Narrow" w:hAnsi="Arial Narrow"/>
                <w:bCs/>
                <w:color w:val="000000" w:themeColor="text1"/>
                <w:lang w:val="es-CO"/>
              </w:rPr>
              <w:t xml:space="preserve"> A partir de las anteriores consideraciones jurídicas y de los pronunciamientos jurisprudenciales transcritos, se colige que dada la naturaleza especial y la prevalencia del mandato constitucional en torno al carácter parafiscal y la destinación específica de los recursos del Sistema General de Seguridad Social en Salud, estos gozan de la protección prevista en el artículo 48 de la Constitución Política, norma de carácter superior que no contempla excepciones, y que no puede ser suspendida o condicionada – en cuanto a su eficacia-, con fundamento en restricciones de orden legal, como lo indica el artículo 4 ibidem.  </w:t>
            </w:r>
          </w:p>
          <w:p w14:paraId="66A715E1"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32FF484F"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En línea de la anterior regla constitucional fue expedido el artículo 12 de la Ley 1797 de 2016 que establece que, en los procesos de liquidación de las Entidades Promotoras de Salud, inclusive las que se encuentran en curso, antes de la determinación de la prelación de créditos, se debe dar cubrimiento de los recursos adeudados al entonces FOSYGA, hoy ADRES.  </w:t>
            </w:r>
          </w:p>
          <w:p w14:paraId="0685C3F0"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54BA7B5E" w14:textId="49F7D3D9"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En desarrollo de esta disposición legal, el Ministerio de Salud y Protección Social expidió, a su vez, la Resolución 574 de 2017, mediante la cual fijó el procedimiento que las Entidades en proceso de liquidación, deben realizar para culminar de manera satisfactoria el proceso de cierre y aclaración de los asuntos pendientes ante el entonces FOSYGA, hoy ADRES. </w:t>
            </w:r>
          </w:p>
          <w:p w14:paraId="111BB34C"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6EBA1E88"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Por otro lado, el inciso tercero del artículo tercero del Decreto Ley 1281 de 2002, dispone:  </w:t>
            </w:r>
          </w:p>
          <w:p w14:paraId="753242E3"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243CE57E" w14:textId="77777777" w:rsidR="009D263D" w:rsidRPr="009D263D" w:rsidRDefault="009D263D" w:rsidP="00203CA9">
            <w:pPr>
              <w:ind w:left="870" w:right="567"/>
              <w:jc w:val="both"/>
              <w:rPr>
                <w:rFonts w:ascii="Arial Narrow" w:hAnsi="Arial Narrow"/>
                <w:bCs/>
                <w:color w:val="000000" w:themeColor="text1"/>
                <w:sz w:val="20"/>
                <w:szCs w:val="20"/>
                <w:lang w:val="es-CO"/>
              </w:rPr>
            </w:pPr>
            <w:r w:rsidRPr="009D263D">
              <w:rPr>
                <w:rFonts w:ascii="Arial Narrow" w:hAnsi="Arial Narrow"/>
                <w:b/>
                <w:bCs/>
                <w:i/>
                <w:color w:val="000000" w:themeColor="text1"/>
                <w:sz w:val="20"/>
                <w:szCs w:val="20"/>
                <w:lang w:val="es-CO"/>
              </w:rPr>
              <w:t>“Artículo 3°. Reintegro de recursos apropiados o reconocidos sin justa causa.</w:t>
            </w:r>
            <w:r w:rsidRPr="009D263D">
              <w:rPr>
                <w:rFonts w:ascii="Arial Narrow" w:hAnsi="Arial Narrow"/>
                <w:bCs/>
                <w:i/>
                <w:color w:val="000000" w:themeColor="text1"/>
                <w:sz w:val="20"/>
                <w:szCs w:val="20"/>
                <w:lang w:val="es-CO"/>
              </w:rPr>
              <w:t xml:space="preserve"> Cuando el administrador fiduciario del Fosyga o cualquier entidad o </w:t>
            </w:r>
            <w:proofErr w:type="gramStart"/>
            <w:r w:rsidRPr="009D263D">
              <w:rPr>
                <w:rFonts w:ascii="Arial Narrow" w:hAnsi="Arial Narrow"/>
                <w:bCs/>
                <w:i/>
                <w:color w:val="000000" w:themeColor="text1"/>
                <w:sz w:val="20"/>
                <w:szCs w:val="20"/>
                <w:lang w:val="es-CO"/>
              </w:rPr>
              <w:t>autoridad pública</w:t>
            </w:r>
            <w:proofErr w:type="gramEnd"/>
            <w:r w:rsidRPr="009D263D">
              <w:rPr>
                <w:rFonts w:ascii="Arial Narrow" w:hAnsi="Arial Narrow"/>
                <w:bCs/>
                <w:i/>
                <w:color w:val="000000" w:themeColor="text1"/>
                <w:sz w:val="20"/>
                <w:szCs w:val="20"/>
                <w:lang w:val="es-CO"/>
              </w:rPr>
              <w:t xml:space="preserve">, en el ejercicio de sus competencias o actividades como participante o actor en el flujo de caja, detecte que se presentó apropiación sin justa causa de recursos del sector salud, en los eventos que señale el reglamento, solicitará en forma inmediata las aclaraciones respectivas o su reintegro, el cual procederá a más tardar dentro de los veinte días hábiles siguientes a la comunicación del hecho. Cuando la situación no sea subsanada o aclarada en el plazo señalado se informará de manera inmediata y con las pruebas correspondientes a la Superintendencia Nacional de Salud quien ordenará el reintegro inmediato de los recursos y adelantará las acciones que considere pertinentes. (…) </w:t>
            </w:r>
            <w:r w:rsidRPr="009D263D">
              <w:rPr>
                <w:rFonts w:ascii="Arial Narrow" w:hAnsi="Arial Narrow"/>
                <w:bCs/>
                <w:color w:val="000000" w:themeColor="text1"/>
                <w:sz w:val="20"/>
                <w:szCs w:val="20"/>
                <w:lang w:val="es-CO"/>
              </w:rPr>
              <w:t xml:space="preserve"> </w:t>
            </w:r>
          </w:p>
          <w:p w14:paraId="4F3CE352" w14:textId="77777777" w:rsidR="009D263D" w:rsidRPr="009D263D" w:rsidRDefault="009D263D" w:rsidP="00203CA9">
            <w:pPr>
              <w:ind w:left="870" w:right="567"/>
              <w:jc w:val="both"/>
              <w:rPr>
                <w:rFonts w:ascii="Arial Narrow" w:hAnsi="Arial Narrow"/>
                <w:bCs/>
                <w:color w:val="000000" w:themeColor="text1"/>
                <w:sz w:val="20"/>
                <w:szCs w:val="20"/>
                <w:lang w:val="es-CO"/>
              </w:rPr>
            </w:pPr>
            <w:r w:rsidRPr="009D263D">
              <w:rPr>
                <w:rFonts w:ascii="Arial Narrow" w:hAnsi="Arial Narrow"/>
                <w:bCs/>
                <w:color w:val="000000" w:themeColor="text1"/>
                <w:sz w:val="20"/>
                <w:szCs w:val="20"/>
                <w:lang w:val="es-CO"/>
              </w:rPr>
              <w:t xml:space="preserve"> </w:t>
            </w:r>
          </w:p>
          <w:p w14:paraId="6DE9A4BE" w14:textId="77777777" w:rsidR="009D263D" w:rsidRPr="009D263D" w:rsidRDefault="009D263D" w:rsidP="00203CA9">
            <w:pPr>
              <w:ind w:left="870" w:right="567"/>
              <w:jc w:val="both"/>
              <w:rPr>
                <w:rFonts w:ascii="Arial Narrow" w:hAnsi="Arial Narrow"/>
                <w:bCs/>
                <w:color w:val="000000" w:themeColor="text1"/>
                <w:sz w:val="20"/>
                <w:szCs w:val="20"/>
                <w:lang w:val="es-CO"/>
              </w:rPr>
            </w:pPr>
            <w:r w:rsidRPr="009D263D">
              <w:rPr>
                <w:rFonts w:ascii="Arial Narrow" w:hAnsi="Arial Narrow"/>
                <w:bCs/>
                <w:i/>
                <w:color w:val="000000" w:themeColor="text1"/>
                <w:sz w:val="20"/>
                <w:szCs w:val="20"/>
                <w:lang w:val="es-CO"/>
              </w:rPr>
              <w:t xml:space="preserve">En el evento en que la apropiación o reconocimiento sin justa causa se haya producido a pesar de contarse con las herramientas, información o instrumentos para evitarlo, los recursos deberán reintegrarse junto con los respectivos intereses liquidados a la tasa </w:t>
            </w:r>
            <w:r w:rsidRPr="009D263D">
              <w:rPr>
                <w:rFonts w:ascii="Arial Narrow" w:hAnsi="Arial Narrow"/>
                <w:bCs/>
                <w:i/>
                <w:color w:val="000000" w:themeColor="text1"/>
                <w:sz w:val="20"/>
                <w:szCs w:val="20"/>
                <w:lang w:val="es-CO"/>
              </w:rPr>
              <w:lastRenderedPageBreak/>
              <w:t>de interés moratorio establecida para los impuestos administrados por la Dirección de Impuestos y Aduanas Nacionales, DIAN. Cuando la apropiación se presente pese a la diligencia del respectivo actor o por circunstancias que escaparon a su control, los recursos deberán reintegrarse debidamente actualizados por el Índice de Precios al Consumidor, IPC.”</w:t>
            </w:r>
            <w:r w:rsidRPr="009D263D">
              <w:rPr>
                <w:rFonts w:ascii="Arial Narrow" w:hAnsi="Arial Narrow"/>
                <w:bCs/>
                <w:color w:val="000000" w:themeColor="text1"/>
                <w:sz w:val="20"/>
                <w:szCs w:val="20"/>
                <w:lang w:val="es-CO"/>
              </w:rPr>
              <w:t xml:space="preserve">  </w:t>
            </w:r>
          </w:p>
          <w:p w14:paraId="3761F2B4"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43A8A999"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En este sentido, si la apropiación o reconocimiento indebido ocurrió por negligencia, imprudencia o impericia, por cuanto la entidad contaba con herramientas, información o instrumentos para evitar la indebida apropiación de los recursos, y ante la falta de cuidado al no tomar las medidas necesarias para evitar que el hecho ocurriera, surge la obligación de reconocer y pagar los intereses causados a las de interés moratorios establecida para los impuestos administrados por la DIAN. Por el contrario, de no mediar las conductas anteriormente descritas y por tanto se encuentra que la EPS actuó con diligencia o en el evento que la apropiación o reconocimiento sin justa causa se generen por circunstancias que escaparon a su control, los recursos deberán reintegrarse debidamente indexados teniendo en cuenta el IPC.  </w:t>
            </w:r>
          </w:p>
          <w:p w14:paraId="387F33FD"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51155D9D" w14:textId="04A7FCAC" w:rsidR="009D263D" w:rsidRPr="009D263D" w:rsidRDefault="009D263D" w:rsidP="00203CA9">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Por su parte, el artículo 7° de la Ley 1949 de 2019 derogó lo dispuesto en el artículo 3 del Decreto Ley 1281 de 2002 y estableció que los recursos apropiados o reconocidos sin justa deberán reintegrarse debidamente indexados de acuerdo con el Índice de Precios al Consumidor,</w:t>
            </w:r>
            <w:r w:rsidR="00203CA9">
              <w:rPr>
                <w:rFonts w:ascii="Arial Narrow" w:hAnsi="Arial Narrow"/>
                <w:bCs/>
                <w:color w:val="000000" w:themeColor="text1"/>
                <w:lang w:val="es-CO"/>
              </w:rPr>
              <w:t xml:space="preserve"> la </w:t>
            </w:r>
            <w:r w:rsidRPr="009D263D">
              <w:rPr>
                <w:rFonts w:ascii="Arial Narrow" w:hAnsi="Arial Narrow"/>
                <w:bCs/>
                <w:color w:val="000000" w:themeColor="text1"/>
                <w:lang w:val="es-CO"/>
              </w:rPr>
              <w:t xml:space="preserve">aplicación de la citada norma se encuentra prevista para aquellos procedimientos que se iniciaron a partir de la entrada en vigor de la Ley 1949 de 2019 y aquellos que no hubiesen sido allegados a la Superintendencia Nacional de Salud y los que se inician a partir de su vigencia.  </w:t>
            </w:r>
          </w:p>
          <w:p w14:paraId="3BB53DA8"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330B25E8"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En consecuencia, la norma es clara al establecer el deber de cuidado necesario por parte de los actores del Sistema General de Seguridad Social en Salud frente al manejo de los recursos del sistema, toda vez que de no hacerse implica necesariamente el pago de reintegrar los dineros actualizados conforme al Índice de Precios al Consumidor. </w:t>
            </w:r>
          </w:p>
          <w:p w14:paraId="4DBA00E2"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73C0C281"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De lo anterior se puede extraer que conforme a la reiterada jurisprudencia del Consejo de Estado donde afirma que la entidad en liquidación no procederá al pago de los intereses moratorios dada la condición de una causal de fuerza mayor, no resulta aplicable cuando se trate de indexación, toda vez que está ultima no constituye unas sanción sino una simple actualización de la moneda para contrarrestar la devaluación de la misma por el transcurso del tiempo, dada la generalizada condición inflacionaria de la economía nacional. </w:t>
            </w:r>
          </w:p>
          <w:p w14:paraId="44F2B7FD"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2E8938C2"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Es decir, que tal actualización se lleva a cabo mediante distintos mecanismos, los cuales permiten la revisión y corrección periódica de las prestaciones debidas. La indexación ha sido definida como un </w:t>
            </w:r>
            <w:r w:rsidRPr="009D263D">
              <w:rPr>
                <w:rFonts w:ascii="Arial Narrow" w:hAnsi="Arial Narrow"/>
                <w:bCs/>
                <w:i/>
                <w:color w:val="000000" w:themeColor="text1"/>
                <w:lang w:val="es-CO"/>
              </w:rPr>
              <w:t>“sistema que consiste en la adecuación automática de las magnitudes monetarias a las variaciones del nivel de precios, con el fin de mantener constante, el valor real de éstos</w:t>
            </w:r>
            <w:r w:rsidRPr="009D263D">
              <w:rPr>
                <w:rFonts w:ascii="Arial Narrow" w:hAnsi="Arial Narrow"/>
                <w:bCs/>
                <w:color w:val="000000" w:themeColor="text1"/>
                <w:lang w:val="es-CO"/>
              </w:rPr>
              <w:t>”</w:t>
            </w:r>
            <w:r w:rsidRPr="009D263D">
              <w:rPr>
                <w:rFonts w:ascii="Arial Narrow" w:hAnsi="Arial Narrow"/>
                <w:bCs/>
                <w:color w:val="000000" w:themeColor="text1"/>
                <w:vertAlign w:val="superscript"/>
                <w:lang w:val="es-CO"/>
              </w:rPr>
              <w:footnoteReference w:id="17"/>
            </w:r>
            <w:r w:rsidRPr="009D263D">
              <w:rPr>
                <w:rFonts w:ascii="Arial Narrow" w:hAnsi="Arial Narrow"/>
                <w:bCs/>
                <w:color w:val="000000" w:themeColor="text1"/>
                <w:lang w:val="es-CO"/>
              </w:rPr>
              <w:t xml:space="preserve">, para lo cual se utilizan diversos parámetros entre ellos la inflación, y la devaluación monetaria.  </w:t>
            </w:r>
          </w:p>
          <w:p w14:paraId="615327C4"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4E297A5F"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En concepto N°2106 del 9 de agosto de 2012, la Sala de Consulta y Servicio Civil del Consejo de Estado, señaló que la indexación es un acto de equidad, cuya aplicación se sustenta además en el artículo 230 de la Constitución Política. Indicó además que cuando se ordena el restablecimiento del derecho con la indexación, se busca que dicho restablecimiento – represente el valor real al momento de la condena que es el equivalente al perjuicio recibido. </w:t>
            </w:r>
          </w:p>
          <w:p w14:paraId="28486521"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5D7A1CCA" w14:textId="47E683CB" w:rsidR="009D263D" w:rsidRPr="009D263D" w:rsidRDefault="009D263D" w:rsidP="00203CA9">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No hay duda entonces que tiene aplicación el principio "</w:t>
            </w:r>
            <w:proofErr w:type="gramStart"/>
            <w:r w:rsidRPr="009D263D">
              <w:rPr>
                <w:rFonts w:ascii="Arial Narrow" w:hAnsi="Arial Narrow"/>
                <w:bCs/>
                <w:color w:val="000000" w:themeColor="text1"/>
                <w:lang w:val="es-CO"/>
              </w:rPr>
              <w:t>pro operario</w:t>
            </w:r>
            <w:proofErr w:type="gramEnd"/>
            <w:r w:rsidRPr="009D263D">
              <w:rPr>
                <w:rFonts w:ascii="Arial Narrow" w:hAnsi="Arial Narrow"/>
                <w:bCs/>
                <w:color w:val="000000" w:themeColor="text1"/>
                <w:lang w:val="es-CO"/>
              </w:rPr>
              <w:t xml:space="preserve">" a que alude el artículo 230 Superior, que consagra la equidad como un criterio del que se auxilia el sentenciador para fundar su decisión. Actualizar el pago de las sumas que la demandada debe a favor de la ADRES como actor fundamental en el Sistema de Seguridad Social en Salud, es la única forma de impedir que la demandante se vea obligada a percibir un ingreso devaluado, de manera que represente el valor real al momento de su pago efectivo; por ello, se debe reconocer que las sumas no canceladas en tiempo sufrieron los rigores del deterioro inflacionario.  </w:t>
            </w:r>
          </w:p>
          <w:p w14:paraId="30AF490D"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4F925622"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Lo contrario implica desconocer no solo el hecho palmario de la inflación, sino desatender claros principios de equidad. El fin de la Constitución es implantar el derecho mediante la justicia, la libertad, la igualdad y el pluralismo político y por ello proclama valores superiores del ordenamiento jurídico; luego dentro de la dialéctica constitucional caben no sólo las leyes formales, sino todos los valores constitucionales y los principios generales del derecho. Por lo tanto, el reajuste que implique </w:t>
            </w:r>
            <w:r w:rsidRPr="009D263D">
              <w:rPr>
                <w:rFonts w:ascii="Arial Narrow" w:hAnsi="Arial Narrow"/>
                <w:bCs/>
                <w:color w:val="000000" w:themeColor="text1"/>
                <w:lang w:val="es-CO"/>
              </w:rPr>
              <w:lastRenderedPageBreak/>
              <w:t xml:space="preserve">la indexación no hace la deuda más onerosa, ya que solo mantiene su valor económico real frente a la progresiva devaluación de la moneda; es decir, la obligación no se modifica, sino que se establece el quantum en cantidad equivalente al momento del reconocimiento efectivo del derecho que se traduce en el valor real de la moneda para la época. </w:t>
            </w:r>
          </w:p>
          <w:p w14:paraId="03ED26C6" w14:textId="5C8C2BAD" w:rsidR="009D263D" w:rsidRPr="009D263D" w:rsidRDefault="009D263D" w:rsidP="00203CA9">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3BF5289C" w14:textId="347635C9"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r w:rsidR="00203CA9">
              <w:rPr>
                <w:rFonts w:ascii="Arial Narrow" w:hAnsi="Arial Narrow"/>
                <w:bCs/>
                <w:color w:val="000000" w:themeColor="text1"/>
                <w:lang w:val="es-CO"/>
              </w:rPr>
              <w:t xml:space="preserve"> </w:t>
            </w:r>
            <w:r w:rsidRPr="009D263D">
              <w:rPr>
                <w:rFonts w:ascii="Arial Narrow" w:hAnsi="Arial Narrow"/>
                <w:b/>
                <w:bCs/>
                <w:color w:val="000000" w:themeColor="text1"/>
                <w:lang w:val="es-CO"/>
              </w:rPr>
              <w:t xml:space="preserve">CONCEPTO DE FALSA MOTIVACIÓN DE LOS ACTOS ADMINISTRATIVOS. </w:t>
            </w:r>
          </w:p>
          <w:p w14:paraId="4723C8BB"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42D88287" w14:textId="01FBAE6C" w:rsidR="009D263D" w:rsidRPr="009D263D" w:rsidRDefault="00200C52" w:rsidP="009D263D">
            <w:pPr>
              <w:ind w:left="476" w:right="567"/>
              <w:jc w:val="both"/>
              <w:rPr>
                <w:rFonts w:ascii="Arial Narrow" w:hAnsi="Arial Narrow"/>
                <w:bCs/>
                <w:color w:val="000000" w:themeColor="text1"/>
                <w:lang w:val="es-CO"/>
              </w:rPr>
            </w:pPr>
            <w:r>
              <w:rPr>
                <w:rFonts w:ascii="Arial Narrow" w:hAnsi="Arial Narrow"/>
                <w:bCs/>
                <w:color w:val="000000" w:themeColor="text1"/>
                <w:lang w:val="es-CO"/>
              </w:rPr>
              <w:t>La</w:t>
            </w:r>
            <w:r w:rsidR="009D263D" w:rsidRPr="009D263D">
              <w:rPr>
                <w:rFonts w:ascii="Arial Narrow" w:hAnsi="Arial Narrow"/>
                <w:bCs/>
                <w:color w:val="000000" w:themeColor="text1"/>
                <w:lang w:val="es-CO"/>
              </w:rPr>
              <w:t xml:space="preserve"> Sección Cuarta del Consejo de Estado</w:t>
            </w:r>
            <w:r w:rsidR="009D263D" w:rsidRPr="009D263D">
              <w:rPr>
                <w:rFonts w:ascii="Arial Narrow" w:hAnsi="Arial Narrow"/>
                <w:bCs/>
                <w:color w:val="000000" w:themeColor="text1"/>
                <w:vertAlign w:val="superscript"/>
                <w:lang w:val="es-CO"/>
              </w:rPr>
              <w:footnoteReference w:id="18"/>
            </w:r>
            <w:r w:rsidR="009D263D" w:rsidRPr="009D263D">
              <w:rPr>
                <w:rFonts w:ascii="Arial Narrow" w:hAnsi="Arial Narrow"/>
                <w:bCs/>
                <w:color w:val="000000" w:themeColor="text1"/>
                <w:lang w:val="es-CO"/>
              </w:rPr>
              <w:t xml:space="preserve"> ha precisado que esta causal autónoma e independiente se relaciona directamente con el principio de legalidad de los actos y con el control de los hechos determinantes de la decisión administrativa.  </w:t>
            </w:r>
          </w:p>
          <w:p w14:paraId="071451A8"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318D60FD"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Para que prospere la pretensión de nulidad de un acto administrativo con fundamento en la causal denominada falsa motivación, la Sala ha señalado que </w:t>
            </w:r>
            <w:r w:rsidRPr="009D263D">
              <w:rPr>
                <w:rFonts w:ascii="Arial Narrow" w:hAnsi="Arial Narrow"/>
                <w:bCs/>
                <w:i/>
                <w:color w:val="000000" w:themeColor="text1"/>
                <w:lang w:val="es-CO"/>
              </w:rPr>
              <w:t>"es necesario que se demuestre una de dos circunstancias: a) O bien que los hechos que la Administración tuvo en cuenta como motivos determinantes de la decisión no estuvieron debidamente probados dentro de la actuación administrativa; o b) Que la Administración omitió tener en cuenta hechos que sí estaban demostrados y que si hubiesen sido considerados habrían conducido a una decisión sustancialmente diferente"</w:t>
            </w:r>
            <w:r w:rsidRPr="009D263D">
              <w:rPr>
                <w:rFonts w:ascii="Arial Narrow" w:hAnsi="Arial Narrow"/>
                <w:bCs/>
                <w:color w:val="000000" w:themeColor="text1"/>
                <w:lang w:val="es-CO"/>
              </w:rPr>
              <w:t xml:space="preserve">.  </w:t>
            </w:r>
          </w:p>
          <w:p w14:paraId="17CEA447"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7B913B18" w14:textId="77777777" w:rsidR="00200C52" w:rsidRDefault="009D263D" w:rsidP="00200C52">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Ahora bien, al no haberse reconocido y pagado a la ADRES </w:t>
            </w:r>
            <w:r w:rsidRPr="009D263D">
              <w:rPr>
                <w:rFonts w:ascii="Arial Narrow" w:hAnsi="Arial Narrow"/>
                <w:b/>
                <w:bCs/>
                <w:color w:val="000000" w:themeColor="text1"/>
                <w:u w:val="single"/>
                <w:lang w:val="es-CO"/>
              </w:rPr>
              <w:t>la totalidad de los</w:t>
            </w:r>
            <w:r w:rsidRPr="009D263D">
              <w:rPr>
                <w:rFonts w:ascii="Arial Narrow" w:hAnsi="Arial Narrow"/>
                <w:b/>
                <w:bCs/>
                <w:color w:val="000000" w:themeColor="text1"/>
                <w:lang w:val="es-CO"/>
              </w:rPr>
              <w:t xml:space="preserve"> </w:t>
            </w:r>
            <w:r w:rsidRPr="009D263D">
              <w:rPr>
                <w:rFonts w:ascii="Arial Narrow" w:hAnsi="Arial Narrow"/>
                <w:b/>
                <w:bCs/>
                <w:color w:val="000000" w:themeColor="text1"/>
                <w:u w:val="single"/>
                <w:lang w:val="es-CO"/>
              </w:rPr>
              <w:t>recursos pertenecientes al Sistema General de Seguridad Social en Salud, previo</w:t>
            </w:r>
            <w:r w:rsidRPr="009D263D">
              <w:rPr>
                <w:rFonts w:ascii="Arial Narrow" w:hAnsi="Arial Narrow"/>
                <w:b/>
                <w:bCs/>
                <w:color w:val="000000" w:themeColor="text1"/>
                <w:lang w:val="es-CO"/>
              </w:rPr>
              <w:t xml:space="preserve"> </w:t>
            </w:r>
            <w:r w:rsidRPr="009D263D">
              <w:rPr>
                <w:rFonts w:ascii="Arial Narrow" w:hAnsi="Arial Narrow"/>
                <w:b/>
                <w:bCs/>
                <w:color w:val="000000" w:themeColor="text1"/>
                <w:u w:val="single"/>
                <w:lang w:val="es-CO"/>
              </w:rPr>
              <w:t>a la determinación de la masa de liquidación</w:t>
            </w:r>
            <w:r w:rsidRPr="009D263D">
              <w:rPr>
                <w:rFonts w:ascii="Arial Narrow" w:hAnsi="Arial Narrow"/>
                <w:bCs/>
                <w:color w:val="000000" w:themeColor="text1"/>
                <w:lang w:val="es-CO"/>
              </w:rPr>
              <w:t xml:space="preserve"> y consecuentemente al expedir el acto, además de infringir el artículo 48 de la Constitución Política, no tuvo en cuenta lo preceptuado en el artículo 12 de la Ley 1797 de 2016 y el procedimiento descrito en la Resolución 574 de 2017 expedida por el Ministerio de Salud y Protección Social.  </w:t>
            </w:r>
          </w:p>
          <w:p w14:paraId="2A0A32B9" w14:textId="77777777" w:rsidR="00200C52" w:rsidRDefault="00200C52" w:rsidP="00200C52">
            <w:pPr>
              <w:ind w:left="476" w:right="567"/>
              <w:jc w:val="both"/>
              <w:rPr>
                <w:rFonts w:ascii="Arial Narrow" w:hAnsi="Arial Narrow"/>
                <w:bCs/>
                <w:color w:val="000000" w:themeColor="text1"/>
                <w:lang w:val="es-CO"/>
              </w:rPr>
            </w:pPr>
          </w:p>
          <w:p w14:paraId="2F36621A" w14:textId="0D950C6C" w:rsidR="009D263D" w:rsidRPr="009D263D" w:rsidRDefault="009D263D" w:rsidP="00200C52">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A su vez, la Resolución 574 de 2017 señala las condiciones que las Entidades Promotoras de Salud– EPS que se encuentren en proceso de liquidación, deben cumplir antes del establecimiento de la masa de liquidación, para adelantar y culminar los asuntos pendientes con el Fosyga, hoy ADRES.  </w:t>
            </w:r>
          </w:p>
          <w:p w14:paraId="545E4713"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3FD9969E"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Resulta importante resaltar que la mencionada Resolución fue expedida con el propósito de proteger los recursos del Sistema General de Seguridad Social en Salud (SGSSS) y lograr la recuperación de los saldos adeudados por entidades que se encuentren en proceso de liquidación.  </w:t>
            </w:r>
          </w:p>
          <w:p w14:paraId="197408C3"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214D377B" w14:textId="77777777" w:rsidR="00200C52" w:rsidRDefault="009D263D" w:rsidP="00200C52">
            <w:pPr>
              <w:ind w:left="476" w:right="567"/>
              <w:jc w:val="both"/>
              <w:rPr>
                <w:rFonts w:ascii="Arial Narrow" w:hAnsi="Arial Narrow"/>
                <w:bCs/>
                <w:color w:val="000000" w:themeColor="text1"/>
                <w:lang w:val="es-CO"/>
              </w:rPr>
            </w:pPr>
            <w:r w:rsidRPr="009D263D">
              <w:rPr>
                <w:rFonts w:ascii="Arial Narrow" w:hAnsi="Arial Narrow"/>
                <w:b/>
                <w:bCs/>
                <w:color w:val="000000" w:themeColor="text1"/>
                <w:lang w:val="es-CO"/>
              </w:rPr>
              <w:t>Por lo tanto, se configura un incumplimiento frente al deber de reserva de los recursos para atender las obligaciones a favor del Sistema General de Seguridad Social en Salud</w:t>
            </w:r>
            <w:r w:rsidRPr="009D263D">
              <w:rPr>
                <w:rFonts w:ascii="Arial Narrow" w:hAnsi="Arial Narrow"/>
                <w:bCs/>
                <w:color w:val="000000" w:themeColor="text1"/>
                <w:lang w:val="es-CO"/>
              </w:rPr>
              <w:t xml:space="preserve">, requisito previo a la calificación de las acreencias que se realizó a través de la censurada. </w:t>
            </w:r>
          </w:p>
          <w:p w14:paraId="45C332E4" w14:textId="77777777" w:rsidR="00200C52" w:rsidRDefault="00200C52" w:rsidP="00200C52">
            <w:pPr>
              <w:ind w:left="476" w:right="567"/>
              <w:jc w:val="both"/>
              <w:rPr>
                <w:rFonts w:ascii="Arial Narrow" w:hAnsi="Arial Narrow"/>
                <w:bCs/>
                <w:color w:val="000000" w:themeColor="text1"/>
                <w:lang w:val="es-CO"/>
              </w:rPr>
            </w:pPr>
          </w:p>
          <w:p w14:paraId="41D2B752" w14:textId="2A562481" w:rsidR="009D263D" w:rsidRPr="009D263D" w:rsidRDefault="009D263D" w:rsidP="00200C52">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De manera específica, el artículo 2° la Resolución 574 de 2017 establece que el liquidador </w:t>
            </w:r>
            <w:r w:rsidRPr="009D263D">
              <w:rPr>
                <w:rFonts w:ascii="Arial Narrow" w:hAnsi="Arial Narrow"/>
                <w:bCs/>
                <w:i/>
                <w:color w:val="000000" w:themeColor="text1"/>
                <w:lang w:val="es-CO"/>
              </w:rPr>
              <w:t xml:space="preserve">“(…) en un término máximo de seis (6) meses contados a partir del acto administrativo que autorice u ordene la liquidación (…) y en todo caso, antes del establecimiento de la masa de liquidación </w:t>
            </w:r>
            <w:r w:rsidRPr="009D263D">
              <w:rPr>
                <w:rFonts w:ascii="Arial Narrow" w:hAnsi="Arial Narrow"/>
                <w:bCs/>
                <w:color w:val="000000" w:themeColor="text1"/>
                <w:lang w:val="es-CO"/>
              </w:rPr>
              <w:t xml:space="preserve">(…)”, </w:t>
            </w:r>
            <w:r w:rsidRPr="009D263D">
              <w:rPr>
                <w:rFonts w:ascii="Arial Narrow" w:hAnsi="Arial Narrow"/>
                <w:bCs/>
                <w:i/>
                <w:color w:val="000000" w:themeColor="text1"/>
                <w:lang w:val="es-CO"/>
              </w:rPr>
              <w:t xml:space="preserve">deberá - en el término indicado y en otros casos dentro de los diez (10) días hábiles siguientes al inicio del proceso de liquidación - adelantar las acciones tendientes a identificar, restituir y/o constituir las respectivas reservas antes de la determinación de la masa y no masa de liquidación. </w:t>
            </w:r>
            <w:r w:rsidRPr="009D263D">
              <w:rPr>
                <w:rFonts w:ascii="Arial Narrow" w:hAnsi="Arial Narrow"/>
                <w:bCs/>
                <w:color w:val="000000" w:themeColor="text1"/>
                <w:lang w:val="es-CO"/>
              </w:rPr>
              <w:t xml:space="preserve"> </w:t>
            </w:r>
          </w:p>
          <w:p w14:paraId="4BCFAAD7"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 </w:t>
            </w:r>
          </w:p>
          <w:p w14:paraId="78D9E314" w14:textId="77777777" w:rsidR="009D263D" w:rsidRPr="009D263D" w:rsidRDefault="009D263D" w:rsidP="009D263D">
            <w:pPr>
              <w:ind w:left="476" w:right="567"/>
              <w:jc w:val="both"/>
              <w:rPr>
                <w:rFonts w:ascii="Arial Narrow" w:hAnsi="Arial Narrow"/>
                <w:bCs/>
                <w:color w:val="000000" w:themeColor="text1"/>
                <w:lang w:val="es-CO"/>
              </w:rPr>
            </w:pPr>
            <w:r w:rsidRPr="009D263D">
              <w:rPr>
                <w:rFonts w:ascii="Arial Narrow" w:hAnsi="Arial Narrow"/>
                <w:bCs/>
                <w:color w:val="000000" w:themeColor="text1"/>
                <w:lang w:val="es-CO"/>
              </w:rPr>
              <w:t xml:space="preserve">Por consiguiente, la obligación de garantizar la protección y destinación de los recursos del Sistema General de Seguridad Social en Salud de acuerdo con lo establecido en el artículo 48 de la Constitución Política se concreta en lo que concierne a los Agentes Liquidadores de las EPS e IPS en el deber de aplicar las disposiciones especiales contenidas en el artículo 12 de la ley 1797 de 2016 y los lineamientos de la Resolución Minsalud 574 de 2017, a la interpretación de las reglas generales de los procesos concursales. </w:t>
            </w:r>
          </w:p>
          <w:p w14:paraId="1D9DA1D9" w14:textId="4356C651" w:rsidR="00CF25F1" w:rsidRDefault="00CF25F1" w:rsidP="008313E7">
            <w:pPr>
              <w:ind w:right="567"/>
              <w:jc w:val="both"/>
              <w:rPr>
                <w:rFonts w:ascii="Arial Narrow" w:hAnsi="Arial Narrow"/>
                <w:color w:val="000000" w:themeColor="text1"/>
                <w:lang w:val="es-CO"/>
              </w:rPr>
            </w:pPr>
          </w:p>
          <w:p w14:paraId="38597456" w14:textId="77777777" w:rsidR="008313E7" w:rsidRDefault="008313E7" w:rsidP="008313E7">
            <w:pPr>
              <w:ind w:right="567"/>
              <w:jc w:val="both"/>
              <w:rPr>
                <w:rFonts w:ascii="Arial Narrow" w:hAnsi="Arial Narrow"/>
                <w:color w:val="000000" w:themeColor="text1"/>
                <w:lang w:val="es-CO"/>
              </w:rPr>
            </w:pPr>
          </w:p>
          <w:p w14:paraId="181E8DE9" w14:textId="77777777" w:rsidR="008313E7" w:rsidRDefault="008313E7" w:rsidP="008313E7">
            <w:pPr>
              <w:ind w:right="567"/>
              <w:jc w:val="both"/>
              <w:rPr>
                <w:rFonts w:ascii="Arial Narrow" w:hAnsi="Arial Narrow"/>
                <w:color w:val="000000" w:themeColor="text1"/>
                <w:lang w:val="es-CO"/>
              </w:rPr>
            </w:pPr>
          </w:p>
          <w:p w14:paraId="73DCC038" w14:textId="77777777" w:rsidR="008313E7" w:rsidRDefault="00CF25F1" w:rsidP="008313E7">
            <w:pPr>
              <w:pStyle w:val="Prrafodelista"/>
              <w:numPr>
                <w:ilvl w:val="0"/>
                <w:numId w:val="2"/>
              </w:numPr>
              <w:ind w:right="567"/>
              <w:jc w:val="both"/>
              <w:rPr>
                <w:rFonts w:ascii="Arial Narrow" w:hAnsi="Arial Narrow"/>
                <w:b/>
                <w:bCs/>
                <w:color w:val="000000" w:themeColor="text1"/>
                <w:lang w:val="es-CO"/>
              </w:rPr>
            </w:pPr>
            <w:r w:rsidRPr="00FA2AB2">
              <w:rPr>
                <w:rFonts w:ascii="Arial Narrow" w:hAnsi="Arial Narrow"/>
                <w:b/>
                <w:bCs/>
                <w:color w:val="000000" w:themeColor="text1"/>
                <w:lang w:val="es-CO"/>
              </w:rPr>
              <w:lastRenderedPageBreak/>
              <w:t>Razones de la defensa. (Contestación de la demanda)</w:t>
            </w:r>
          </w:p>
          <w:p w14:paraId="6C197BEE" w14:textId="77777777" w:rsidR="00C36025" w:rsidRDefault="00C36025" w:rsidP="00C36025">
            <w:pPr>
              <w:pStyle w:val="Prrafodelista"/>
              <w:ind w:left="720" w:right="567"/>
              <w:jc w:val="both"/>
              <w:rPr>
                <w:rFonts w:ascii="Arial Narrow" w:hAnsi="Arial Narrow"/>
                <w:b/>
                <w:bCs/>
                <w:color w:val="000000" w:themeColor="text1"/>
                <w:lang w:val="es-CO"/>
              </w:rPr>
            </w:pPr>
          </w:p>
          <w:p w14:paraId="283601F9" w14:textId="7BCDBE26" w:rsidR="008313E7" w:rsidRPr="008313E7" w:rsidRDefault="008313E7" w:rsidP="00C36025">
            <w:pPr>
              <w:pStyle w:val="Prrafodelista"/>
              <w:ind w:left="447" w:right="567"/>
              <w:jc w:val="both"/>
              <w:rPr>
                <w:rFonts w:ascii="Arial Narrow" w:hAnsi="Arial Narrow"/>
                <w:b/>
                <w:bCs/>
                <w:color w:val="000000" w:themeColor="text1"/>
                <w:lang w:val="es-CO"/>
              </w:rPr>
            </w:pPr>
            <w:r w:rsidRPr="008313E7">
              <w:rPr>
                <w:rFonts w:ascii="Arial Narrow" w:hAnsi="Arial Narrow"/>
                <w:b/>
                <w:bCs/>
                <w:color w:val="000000" w:themeColor="text1"/>
                <w:lang w:val="es-CO"/>
              </w:rPr>
              <w:t xml:space="preserve">8.1. </w:t>
            </w:r>
            <w:r w:rsidR="00C36025">
              <w:rPr>
                <w:rFonts w:ascii="Arial Narrow" w:hAnsi="Arial Narrow"/>
                <w:b/>
                <w:bCs/>
                <w:color w:val="000000" w:themeColor="text1"/>
                <w:lang w:val="es-CO"/>
              </w:rPr>
              <w:t xml:space="preserve"> SUPERINTENDENCIA NACIONAL DE SALUD</w:t>
            </w:r>
          </w:p>
          <w:p w14:paraId="59CD60C7" w14:textId="77777777" w:rsidR="00F0238B" w:rsidRDefault="00F0238B" w:rsidP="00F0238B">
            <w:pPr>
              <w:ind w:left="476" w:right="567"/>
              <w:jc w:val="both"/>
              <w:rPr>
                <w:rFonts w:ascii="Arial Narrow" w:hAnsi="Arial Narrow"/>
                <w:b/>
                <w:bCs/>
                <w:color w:val="000000" w:themeColor="text1"/>
                <w:lang w:val="es-CO"/>
              </w:rPr>
            </w:pPr>
          </w:p>
          <w:p w14:paraId="37069353" w14:textId="5913BACA" w:rsidR="00F0238B" w:rsidRDefault="00F0238B" w:rsidP="00F0238B">
            <w:pPr>
              <w:ind w:left="476" w:right="567"/>
              <w:jc w:val="both"/>
              <w:rPr>
                <w:rFonts w:ascii="Arial Narrow" w:hAnsi="Arial Narrow"/>
                <w:color w:val="000000" w:themeColor="text1"/>
                <w:lang w:val="es-CO"/>
              </w:rPr>
            </w:pPr>
            <w:r>
              <w:rPr>
                <w:rFonts w:ascii="Arial Narrow" w:hAnsi="Arial Narrow"/>
                <w:color w:val="000000" w:themeColor="text1"/>
                <w:lang w:val="es-CO"/>
              </w:rPr>
              <w:t>L</w:t>
            </w:r>
            <w:r w:rsidRPr="0048250D">
              <w:rPr>
                <w:rFonts w:ascii="Arial Narrow" w:hAnsi="Arial Narrow"/>
                <w:color w:val="000000" w:themeColor="text1"/>
                <w:lang w:val="es-CO"/>
              </w:rPr>
              <w:t xml:space="preserve">a Superintendencia Nacional de Salud fundamenta su oposición a la demanda promovida por la ADRES en contra de </w:t>
            </w:r>
            <w:r w:rsidR="00C94CC6">
              <w:rPr>
                <w:rFonts w:ascii="Arial Narrow" w:hAnsi="Arial Narrow"/>
                <w:color w:val="000000" w:themeColor="text1"/>
                <w:lang w:val="es-CO"/>
              </w:rPr>
              <w:t>COOMEVA EPS LIQUIDADA</w:t>
            </w:r>
            <w:r w:rsidRPr="0048250D">
              <w:rPr>
                <w:rFonts w:ascii="Arial Narrow" w:hAnsi="Arial Narrow"/>
                <w:color w:val="000000" w:themeColor="text1"/>
                <w:lang w:val="es-CO"/>
              </w:rPr>
              <w:t>, argumentando principalmente su falta de legitimación en la causa por pasiva. A continuación, se detallan los ejes centrales de su argumentación y el alcance de cada uno de ellos.</w:t>
            </w:r>
          </w:p>
          <w:p w14:paraId="124EB99C" w14:textId="77777777" w:rsidR="00F0238B" w:rsidRDefault="00F0238B" w:rsidP="00F0238B">
            <w:pPr>
              <w:ind w:left="476" w:right="567"/>
              <w:jc w:val="both"/>
              <w:rPr>
                <w:rFonts w:ascii="Arial Narrow" w:hAnsi="Arial Narrow"/>
                <w:color w:val="000000" w:themeColor="text1"/>
                <w:lang w:val="es-CO"/>
              </w:rPr>
            </w:pPr>
          </w:p>
          <w:p w14:paraId="71336312" w14:textId="77777777" w:rsidR="00F0238B" w:rsidRPr="0048250D" w:rsidRDefault="00F0238B" w:rsidP="00F0238B">
            <w:pPr>
              <w:ind w:left="476" w:right="567"/>
              <w:jc w:val="both"/>
              <w:rPr>
                <w:rFonts w:ascii="Arial Narrow" w:hAnsi="Arial Narrow"/>
                <w:b/>
                <w:bCs/>
                <w:color w:val="000000" w:themeColor="text1"/>
                <w:lang w:val="es-CO"/>
              </w:rPr>
            </w:pPr>
            <w:r w:rsidRPr="0048250D">
              <w:rPr>
                <w:rFonts w:ascii="Arial Narrow" w:hAnsi="Arial Narrow"/>
                <w:b/>
                <w:bCs/>
                <w:color w:val="000000" w:themeColor="text1"/>
              </w:rPr>
              <w:t>Excepción de Falta de Legitimación en la Causa por Pasiva</w:t>
            </w:r>
          </w:p>
          <w:p w14:paraId="5B6C9BBA" w14:textId="77777777" w:rsidR="00F0238B" w:rsidRDefault="00F0238B" w:rsidP="00F0238B">
            <w:pPr>
              <w:ind w:left="476" w:right="567"/>
              <w:jc w:val="both"/>
              <w:rPr>
                <w:rFonts w:ascii="Arial Narrow" w:hAnsi="Arial Narrow"/>
                <w:color w:val="000000" w:themeColor="text1"/>
                <w:lang w:val="es-CO"/>
              </w:rPr>
            </w:pPr>
          </w:p>
          <w:p w14:paraId="709F27E0" w14:textId="7B26EB7C" w:rsidR="00F0238B" w:rsidRPr="0048250D" w:rsidRDefault="00F0238B" w:rsidP="00F0238B">
            <w:pPr>
              <w:ind w:left="476" w:right="567"/>
              <w:jc w:val="both"/>
              <w:rPr>
                <w:rFonts w:ascii="Arial Narrow" w:hAnsi="Arial Narrow"/>
                <w:color w:val="000000" w:themeColor="text1"/>
                <w:lang w:val="es-CO"/>
              </w:rPr>
            </w:pPr>
            <w:r w:rsidRPr="0048250D">
              <w:rPr>
                <w:rFonts w:ascii="Arial Narrow" w:hAnsi="Arial Narrow"/>
                <w:color w:val="000000" w:themeColor="text1"/>
                <w:lang w:val="es-CO"/>
              </w:rPr>
              <w:t xml:space="preserve">El argumento central de la Superintendencia es que no es la entidad responsable de la expedición de los actos administrativos demandados (Resoluciones 011 y 767 de 2021), ya que estos fueron emitidos por el agente liquidador de </w:t>
            </w:r>
            <w:r>
              <w:rPr>
                <w:rFonts w:ascii="Arial Narrow" w:hAnsi="Arial Narrow"/>
                <w:color w:val="000000" w:themeColor="text1"/>
                <w:lang w:val="es-CO"/>
              </w:rPr>
              <w:t>COOMEVA EPS LIQUIDA</w:t>
            </w:r>
            <w:r w:rsidR="0023730F">
              <w:rPr>
                <w:rFonts w:ascii="Arial Narrow" w:hAnsi="Arial Narrow"/>
                <w:color w:val="000000" w:themeColor="text1"/>
                <w:lang w:val="es-CO"/>
              </w:rPr>
              <w:t>DA</w:t>
            </w:r>
            <w:r w:rsidRPr="0048250D">
              <w:rPr>
                <w:rFonts w:ascii="Arial Narrow" w:hAnsi="Arial Narrow"/>
                <w:color w:val="000000" w:themeColor="text1"/>
                <w:lang w:val="es-CO"/>
              </w:rPr>
              <w:t xml:space="preserve">. En consecuencia, considera que su vinculación en este litigio es improcedente, dado que no tuvo participación directa en la toma de decisiones relacionadas con la calificación de acreencias ni con la inclusión de recursos de la ADRES dentro de la masa </w:t>
            </w:r>
            <w:proofErr w:type="spellStart"/>
            <w:r w:rsidRPr="0048250D">
              <w:rPr>
                <w:rFonts w:ascii="Arial Narrow" w:hAnsi="Arial Narrow"/>
                <w:color w:val="000000" w:themeColor="text1"/>
                <w:lang w:val="es-CO"/>
              </w:rPr>
              <w:t>liquidatoria</w:t>
            </w:r>
            <w:proofErr w:type="spellEnd"/>
            <w:r w:rsidRPr="0048250D">
              <w:rPr>
                <w:rFonts w:ascii="Arial Narrow" w:hAnsi="Arial Narrow"/>
                <w:color w:val="000000" w:themeColor="text1"/>
                <w:lang w:val="es-CO"/>
              </w:rPr>
              <w:t>.</w:t>
            </w:r>
          </w:p>
          <w:p w14:paraId="24C9BF80" w14:textId="77777777" w:rsidR="00F0238B" w:rsidRPr="0048250D" w:rsidRDefault="00F0238B" w:rsidP="00F0238B">
            <w:pPr>
              <w:ind w:left="476" w:right="567"/>
              <w:jc w:val="both"/>
              <w:rPr>
                <w:rFonts w:ascii="Arial Narrow" w:hAnsi="Arial Narrow"/>
                <w:color w:val="000000" w:themeColor="text1"/>
                <w:lang w:val="es-CO"/>
              </w:rPr>
            </w:pPr>
          </w:p>
          <w:p w14:paraId="6AC4668B" w14:textId="77777777" w:rsidR="00F0238B" w:rsidRPr="0048250D" w:rsidRDefault="00F0238B" w:rsidP="00F0238B">
            <w:pPr>
              <w:ind w:left="476" w:right="567"/>
              <w:jc w:val="both"/>
              <w:rPr>
                <w:rFonts w:ascii="Arial Narrow" w:hAnsi="Arial Narrow"/>
                <w:color w:val="000000" w:themeColor="text1"/>
                <w:lang w:val="es-CO"/>
              </w:rPr>
            </w:pPr>
            <w:r w:rsidRPr="0048250D">
              <w:rPr>
                <w:rFonts w:ascii="Arial Narrow" w:hAnsi="Arial Narrow"/>
                <w:color w:val="000000" w:themeColor="text1"/>
                <w:lang w:val="es-CO"/>
              </w:rPr>
              <w:t>Para sustentar esta excepción, la Superintendencia hace énfasis en la diferencia entre sus funciones de inspección, vigilancia y control, y la autonomía que tienen los agentes liquidadores en la gestión de los procesos de liquidación de las EPS. Se argumenta que la Superintendencia supervisa y regula, pero no administra directamente las entidades en liquidación, por lo que no puede ser considerada responsable por los actos expedidos en el marco de dicho proceso.</w:t>
            </w:r>
          </w:p>
          <w:p w14:paraId="0B9EC28F" w14:textId="77777777" w:rsidR="00F0238B" w:rsidRPr="0048250D" w:rsidRDefault="00F0238B" w:rsidP="00F0238B">
            <w:pPr>
              <w:ind w:left="476" w:right="567"/>
              <w:jc w:val="both"/>
              <w:rPr>
                <w:rFonts w:ascii="Arial Narrow" w:hAnsi="Arial Narrow"/>
                <w:color w:val="000000" w:themeColor="text1"/>
                <w:lang w:val="es-CO"/>
              </w:rPr>
            </w:pPr>
          </w:p>
          <w:p w14:paraId="649A962E" w14:textId="77777777" w:rsidR="00F0238B" w:rsidRPr="0048250D" w:rsidRDefault="00F0238B" w:rsidP="00F0238B">
            <w:pPr>
              <w:ind w:left="476" w:right="567"/>
              <w:jc w:val="both"/>
              <w:rPr>
                <w:rFonts w:ascii="Arial Narrow" w:hAnsi="Arial Narrow"/>
                <w:color w:val="000000" w:themeColor="text1"/>
                <w:lang w:val="es-CO"/>
              </w:rPr>
            </w:pPr>
            <w:r w:rsidRPr="0048250D">
              <w:rPr>
                <w:rFonts w:ascii="Arial Narrow" w:hAnsi="Arial Narrow"/>
                <w:color w:val="000000" w:themeColor="text1"/>
                <w:lang w:val="es-CO"/>
              </w:rPr>
              <w:t xml:space="preserve">Desde esta perspectiva, cualquier decisión adoptada dentro del proceso </w:t>
            </w:r>
            <w:proofErr w:type="spellStart"/>
            <w:r w:rsidRPr="0048250D">
              <w:rPr>
                <w:rFonts w:ascii="Arial Narrow" w:hAnsi="Arial Narrow"/>
                <w:color w:val="000000" w:themeColor="text1"/>
                <w:lang w:val="es-CO"/>
              </w:rPr>
              <w:t>liquidatorio</w:t>
            </w:r>
            <w:proofErr w:type="spellEnd"/>
            <w:r w:rsidRPr="0048250D">
              <w:rPr>
                <w:rFonts w:ascii="Arial Narrow" w:hAnsi="Arial Narrow"/>
                <w:color w:val="000000" w:themeColor="text1"/>
                <w:lang w:val="es-CO"/>
              </w:rPr>
              <w:t xml:space="preserve"> es atribuible al agente liquidador y no a la Superintendencia, lo que excluiría su responsabilidad en los hechos alegados por la ADRES.</w:t>
            </w:r>
          </w:p>
          <w:p w14:paraId="19803F53" w14:textId="77777777" w:rsidR="00F0238B" w:rsidRPr="0048250D" w:rsidRDefault="00F0238B" w:rsidP="00F0238B">
            <w:pPr>
              <w:ind w:left="476" w:right="567"/>
              <w:jc w:val="both"/>
              <w:rPr>
                <w:rFonts w:ascii="Arial Narrow" w:hAnsi="Arial Narrow"/>
                <w:color w:val="000000" w:themeColor="text1"/>
                <w:lang w:val="es-CO"/>
              </w:rPr>
            </w:pPr>
          </w:p>
          <w:p w14:paraId="680A1A1B" w14:textId="77777777" w:rsidR="00F0238B" w:rsidRPr="0048250D" w:rsidRDefault="00F0238B" w:rsidP="00F0238B">
            <w:pPr>
              <w:ind w:left="476" w:right="567"/>
              <w:jc w:val="both"/>
              <w:rPr>
                <w:rFonts w:ascii="Arial Narrow" w:hAnsi="Arial Narrow"/>
                <w:b/>
                <w:bCs/>
                <w:color w:val="000000" w:themeColor="text1"/>
                <w:lang w:val="es-CO"/>
              </w:rPr>
            </w:pPr>
            <w:r w:rsidRPr="0048250D">
              <w:rPr>
                <w:rFonts w:ascii="Arial Narrow" w:hAnsi="Arial Narrow"/>
                <w:b/>
                <w:bCs/>
                <w:color w:val="000000" w:themeColor="text1"/>
                <w:lang w:val="es-CO"/>
              </w:rPr>
              <w:t>Alcance de las Funciones de la Superintendencia Nacional de Salud.</w:t>
            </w:r>
          </w:p>
          <w:p w14:paraId="66987E89" w14:textId="77777777" w:rsidR="00F0238B" w:rsidRPr="0048250D" w:rsidRDefault="00F0238B" w:rsidP="00F0238B">
            <w:pPr>
              <w:ind w:left="476" w:right="567"/>
              <w:jc w:val="both"/>
              <w:rPr>
                <w:rFonts w:ascii="Arial Narrow" w:hAnsi="Arial Narrow"/>
                <w:color w:val="000000" w:themeColor="text1"/>
                <w:lang w:val="es-CO"/>
              </w:rPr>
            </w:pPr>
          </w:p>
          <w:p w14:paraId="033B29DC" w14:textId="77777777" w:rsidR="00F0238B" w:rsidRPr="0048250D" w:rsidRDefault="00F0238B" w:rsidP="00F0238B">
            <w:pPr>
              <w:ind w:left="476" w:right="567"/>
              <w:jc w:val="both"/>
              <w:rPr>
                <w:rFonts w:ascii="Arial Narrow" w:hAnsi="Arial Narrow"/>
                <w:color w:val="000000" w:themeColor="text1"/>
                <w:lang w:val="es-CO"/>
              </w:rPr>
            </w:pPr>
            <w:r w:rsidRPr="0048250D">
              <w:rPr>
                <w:rFonts w:ascii="Arial Narrow" w:hAnsi="Arial Narrow"/>
                <w:color w:val="000000" w:themeColor="text1"/>
                <w:lang w:val="es-CO"/>
              </w:rPr>
              <w:t>La defensa detalla el marco normativo que rige la función de la Superintendencia Nacional de Salud, resaltando que su rol en el Sistema General de Seguridad Social en Salud (SGSSS) se circunscribe a tareas de supervisión y control, pero no de administración ni ejecución de recursos.</w:t>
            </w:r>
          </w:p>
          <w:p w14:paraId="0FC19978" w14:textId="77777777" w:rsidR="00F0238B" w:rsidRPr="0048250D" w:rsidRDefault="00F0238B" w:rsidP="00F0238B">
            <w:pPr>
              <w:ind w:left="476" w:right="567"/>
              <w:jc w:val="both"/>
              <w:rPr>
                <w:rFonts w:ascii="Arial Narrow" w:hAnsi="Arial Narrow"/>
                <w:color w:val="000000" w:themeColor="text1"/>
                <w:lang w:val="es-CO"/>
              </w:rPr>
            </w:pPr>
          </w:p>
          <w:p w14:paraId="11293B15" w14:textId="77777777" w:rsidR="00F0238B" w:rsidRPr="0048250D" w:rsidRDefault="00F0238B" w:rsidP="00F0238B">
            <w:pPr>
              <w:ind w:left="476" w:right="567"/>
              <w:jc w:val="both"/>
              <w:rPr>
                <w:rFonts w:ascii="Arial Narrow" w:hAnsi="Arial Narrow"/>
                <w:color w:val="000000" w:themeColor="text1"/>
                <w:lang w:val="es-CO"/>
              </w:rPr>
            </w:pPr>
            <w:r w:rsidRPr="0048250D">
              <w:rPr>
                <w:rFonts w:ascii="Arial Narrow" w:hAnsi="Arial Narrow"/>
                <w:color w:val="000000" w:themeColor="text1"/>
                <w:lang w:val="es-CO"/>
              </w:rPr>
              <w:t>Según el artículo 3° del Decreto 1080 de 2021 y el artículo 35 de la Ley 1122 de 2007, la Superintendencia desarrolla tres funciones principales:</w:t>
            </w:r>
          </w:p>
          <w:p w14:paraId="75CC5EBB" w14:textId="77777777" w:rsidR="00F0238B" w:rsidRPr="0048250D" w:rsidRDefault="00F0238B" w:rsidP="00F0238B">
            <w:pPr>
              <w:ind w:left="476" w:right="567"/>
              <w:jc w:val="both"/>
              <w:rPr>
                <w:rFonts w:ascii="Arial Narrow" w:hAnsi="Arial Narrow"/>
                <w:color w:val="000000" w:themeColor="text1"/>
                <w:lang w:val="es-CO"/>
              </w:rPr>
            </w:pPr>
          </w:p>
          <w:p w14:paraId="3C5B1E6D" w14:textId="77777777" w:rsidR="00F0238B" w:rsidRPr="0048250D" w:rsidRDefault="00F0238B" w:rsidP="00F0238B">
            <w:pPr>
              <w:ind w:left="476" w:right="567"/>
              <w:jc w:val="both"/>
              <w:rPr>
                <w:rFonts w:ascii="Arial Narrow" w:hAnsi="Arial Narrow"/>
                <w:color w:val="000000" w:themeColor="text1"/>
                <w:lang w:val="es-CO"/>
              </w:rPr>
            </w:pPr>
            <w:r w:rsidRPr="0048250D">
              <w:rPr>
                <w:rFonts w:ascii="Arial Narrow" w:hAnsi="Arial Narrow"/>
                <w:color w:val="000000" w:themeColor="text1"/>
                <w:lang w:val="es-CO"/>
              </w:rPr>
              <w:t>Implica el seguimiento y evaluación del SGSSS, incluyendo la revisión de documentos, visitas a las entidades vigiladas y el monitoreo del cumplimiento normativo. Sin embargo, esta función no conlleva la capacidad de tomar decisiones dentro de los procesos internos de una EPS en liquidación.</w:t>
            </w:r>
          </w:p>
          <w:p w14:paraId="69CB50AD" w14:textId="77777777" w:rsidR="00C94CC6" w:rsidRDefault="00C94CC6" w:rsidP="00C94CC6">
            <w:pPr>
              <w:ind w:left="476" w:right="567"/>
              <w:jc w:val="both"/>
              <w:rPr>
                <w:rFonts w:ascii="Arial Narrow" w:hAnsi="Arial Narrow"/>
                <w:color w:val="000000" w:themeColor="text1"/>
                <w:lang w:val="es-CO"/>
              </w:rPr>
            </w:pPr>
          </w:p>
          <w:p w14:paraId="0EAB040F" w14:textId="34ED18A7" w:rsidR="00F0238B" w:rsidRPr="0048250D" w:rsidRDefault="00F0238B" w:rsidP="00C94CC6">
            <w:pPr>
              <w:ind w:left="476" w:right="567"/>
              <w:jc w:val="both"/>
              <w:rPr>
                <w:rFonts w:ascii="Arial Narrow" w:hAnsi="Arial Narrow"/>
                <w:color w:val="000000" w:themeColor="text1"/>
                <w:lang w:val="es-CO"/>
              </w:rPr>
            </w:pPr>
            <w:r w:rsidRPr="0048250D">
              <w:rPr>
                <w:rFonts w:ascii="Arial Narrow" w:hAnsi="Arial Narrow"/>
                <w:color w:val="000000" w:themeColor="text1"/>
                <w:lang w:val="es-CO"/>
              </w:rPr>
              <w:t xml:space="preserve">Consiste en la advertencia y prevención ante posibles incumplimientos normativos por parte de las entidades vigiladas, pero sin intervenir directamente en sus procesos administrativos. En el contexto de la liquidación de </w:t>
            </w:r>
            <w:r w:rsidR="00C94CC6">
              <w:rPr>
                <w:rFonts w:ascii="Arial Narrow" w:hAnsi="Arial Narrow"/>
                <w:color w:val="000000" w:themeColor="text1"/>
                <w:lang w:val="es-CO"/>
              </w:rPr>
              <w:t xml:space="preserve">COOMEVA </w:t>
            </w:r>
            <w:r w:rsidRPr="0048250D">
              <w:rPr>
                <w:rFonts w:ascii="Arial Narrow" w:hAnsi="Arial Narrow"/>
                <w:color w:val="000000" w:themeColor="text1"/>
                <w:lang w:val="es-CO"/>
              </w:rPr>
              <w:t>EPS</w:t>
            </w:r>
            <w:r w:rsidR="00C94CC6">
              <w:rPr>
                <w:rFonts w:ascii="Arial Narrow" w:hAnsi="Arial Narrow"/>
                <w:color w:val="000000" w:themeColor="text1"/>
                <w:lang w:val="es-CO"/>
              </w:rPr>
              <w:t xml:space="preserve"> LIQUIDADA</w:t>
            </w:r>
            <w:r w:rsidRPr="0048250D">
              <w:rPr>
                <w:rFonts w:ascii="Arial Narrow" w:hAnsi="Arial Narrow"/>
                <w:color w:val="000000" w:themeColor="text1"/>
                <w:lang w:val="es-CO"/>
              </w:rPr>
              <w:t>, la Superintendencia podía realizar observaciones sobre la gestión del liquidador, pero no podía revocar ni modificar las decisiones administrativas adoptadas por este.</w:t>
            </w:r>
          </w:p>
          <w:p w14:paraId="51C7595D" w14:textId="77777777" w:rsidR="00F0238B" w:rsidRPr="0048250D" w:rsidRDefault="00F0238B" w:rsidP="00F0238B">
            <w:pPr>
              <w:ind w:left="476" w:right="567"/>
              <w:jc w:val="both"/>
              <w:rPr>
                <w:rFonts w:ascii="Arial Narrow" w:hAnsi="Arial Narrow"/>
                <w:color w:val="000000" w:themeColor="text1"/>
                <w:lang w:val="es-CO"/>
              </w:rPr>
            </w:pPr>
          </w:p>
          <w:p w14:paraId="67BC1B2D" w14:textId="77777777" w:rsidR="00F0238B" w:rsidRPr="0048250D" w:rsidRDefault="00F0238B" w:rsidP="00F0238B">
            <w:pPr>
              <w:ind w:left="476" w:right="567"/>
              <w:jc w:val="both"/>
              <w:rPr>
                <w:rFonts w:ascii="Arial Narrow" w:hAnsi="Arial Narrow"/>
                <w:color w:val="000000" w:themeColor="text1"/>
                <w:lang w:val="es-CO"/>
              </w:rPr>
            </w:pPr>
            <w:r w:rsidRPr="0048250D">
              <w:rPr>
                <w:rFonts w:ascii="Arial Narrow" w:hAnsi="Arial Narrow"/>
                <w:color w:val="000000" w:themeColor="text1"/>
                <w:lang w:val="es-CO"/>
              </w:rPr>
              <w:t xml:space="preserve">Permite a la Superintendencia ordenar correctivos y sancionar irregularidades, pero no le otorga facultades para decidir sobre la distribución de la masa </w:t>
            </w:r>
            <w:proofErr w:type="spellStart"/>
            <w:r w:rsidRPr="0048250D">
              <w:rPr>
                <w:rFonts w:ascii="Arial Narrow" w:hAnsi="Arial Narrow"/>
                <w:color w:val="000000" w:themeColor="text1"/>
                <w:lang w:val="es-CO"/>
              </w:rPr>
              <w:t>liquidatoria</w:t>
            </w:r>
            <w:proofErr w:type="spellEnd"/>
            <w:r w:rsidRPr="0048250D">
              <w:rPr>
                <w:rFonts w:ascii="Arial Narrow" w:hAnsi="Arial Narrow"/>
                <w:color w:val="000000" w:themeColor="text1"/>
                <w:lang w:val="es-CO"/>
              </w:rPr>
              <w:t xml:space="preserve"> de una EPS. En este sentido, la defensa argumenta que su responsabilidad no va más allá de supervisar que el proceso se desarrolle conforme a la normatividad vigente, sin que esto la haga responsable por las decisiones adoptadas por el agente liquidador.</w:t>
            </w:r>
          </w:p>
          <w:p w14:paraId="366B77BF" w14:textId="77777777" w:rsidR="00F0238B" w:rsidRPr="0048250D" w:rsidRDefault="00F0238B" w:rsidP="00F0238B">
            <w:pPr>
              <w:ind w:left="476" w:right="567"/>
              <w:jc w:val="both"/>
              <w:rPr>
                <w:rFonts w:ascii="Arial Narrow" w:hAnsi="Arial Narrow"/>
                <w:color w:val="000000" w:themeColor="text1"/>
                <w:lang w:val="es-CO"/>
              </w:rPr>
            </w:pPr>
          </w:p>
          <w:p w14:paraId="53DDB187" w14:textId="33F50C8C" w:rsidR="00F0238B" w:rsidRPr="0048250D" w:rsidRDefault="00F0238B" w:rsidP="00F0238B">
            <w:pPr>
              <w:ind w:left="476" w:right="567"/>
              <w:jc w:val="both"/>
              <w:rPr>
                <w:rFonts w:ascii="Arial Narrow" w:hAnsi="Arial Narrow"/>
                <w:b/>
                <w:bCs/>
                <w:color w:val="000000" w:themeColor="text1"/>
                <w:lang w:val="es-CO"/>
              </w:rPr>
            </w:pPr>
            <w:r w:rsidRPr="0048250D">
              <w:rPr>
                <w:rFonts w:ascii="Arial Narrow" w:hAnsi="Arial Narrow"/>
                <w:b/>
                <w:bCs/>
                <w:color w:val="000000" w:themeColor="text1"/>
                <w:lang w:val="es-CO"/>
              </w:rPr>
              <w:t xml:space="preserve">Competencia de la Superintendencia en la Liquidación de EPS y su Relación con el Caso de </w:t>
            </w:r>
            <w:r w:rsidR="000E508A">
              <w:rPr>
                <w:rFonts w:ascii="Arial Narrow" w:hAnsi="Arial Narrow"/>
                <w:b/>
                <w:bCs/>
                <w:color w:val="000000" w:themeColor="text1"/>
                <w:lang w:val="es-CO"/>
              </w:rPr>
              <w:t>COOMEVA EPS LIQUIDADA</w:t>
            </w:r>
          </w:p>
          <w:p w14:paraId="7AF06B65" w14:textId="77777777" w:rsidR="00F0238B" w:rsidRDefault="00F0238B" w:rsidP="00F0238B">
            <w:pPr>
              <w:ind w:left="476" w:right="567"/>
              <w:jc w:val="both"/>
              <w:rPr>
                <w:rFonts w:ascii="Arial Narrow" w:hAnsi="Arial Narrow"/>
                <w:color w:val="000000" w:themeColor="text1"/>
                <w:lang w:val="es-CO"/>
              </w:rPr>
            </w:pPr>
          </w:p>
          <w:p w14:paraId="7454FC59" w14:textId="77777777" w:rsidR="00F0238B" w:rsidRPr="0048250D" w:rsidRDefault="00F0238B" w:rsidP="00F0238B">
            <w:pPr>
              <w:ind w:left="476" w:right="567"/>
              <w:jc w:val="both"/>
              <w:rPr>
                <w:rFonts w:ascii="Arial Narrow" w:hAnsi="Arial Narrow"/>
                <w:color w:val="000000" w:themeColor="text1"/>
                <w:lang w:val="es-CO"/>
              </w:rPr>
            </w:pPr>
            <w:r w:rsidRPr="0048250D">
              <w:rPr>
                <w:rFonts w:ascii="Arial Narrow" w:hAnsi="Arial Narrow"/>
                <w:color w:val="000000" w:themeColor="text1"/>
                <w:lang w:val="es-CO"/>
              </w:rPr>
              <w:t xml:space="preserve">La Superintendencia Nacional de Salud sí tiene facultades para ordenar la liquidación de una EPS cuando se presentan </w:t>
            </w:r>
            <w:r w:rsidRPr="0048250D">
              <w:rPr>
                <w:rFonts w:ascii="Arial Narrow" w:hAnsi="Arial Narrow"/>
                <w:color w:val="000000" w:themeColor="text1"/>
                <w:lang w:val="es-CO"/>
              </w:rPr>
              <w:lastRenderedPageBreak/>
              <w:t>deficiencias en su gestión administrativa o financiera. No obstante, una vez decretada la liquidación, su función se limita a la supervisión del proceso, sin asumir directamente la administración de los activos o pasivos de la entidad en liquidación.</w:t>
            </w:r>
          </w:p>
          <w:p w14:paraId="7B61C981" w14:textId="77777777" w:rsidR="00F0238B" w:rsidRPr="0048250D" w:rsidRDefault="00F0238B" w:rsidP="00F0238B">
            <w:pPr>
              <w:ind w:left="476" w:right="567"/>
              <w:jc w:val="both"/>
              <w:rPr>
                <w:rFonts w:ascii="Arial Narrow" w:hAnsi="Arial Narrow"/>
                <w:color w:val="000000" w:themeColor="text1"/>
                <w:lang w:val="es-CO"/>
              </w:rPr>
            </w:pPr>
          </w:p>
          <w:p w14:paraId="717C5EB5" w14:textId="77777777" w:rsidR="00F0238B" w:rsidRPr="0048250D" w:rsidRDefault="00F0238B" w:rsidP="00F0238B">
            <w:pPr>
              <w:ind w:left="476" w:right="567"/>
              <w:jc w:val="both"/>
              <w:rPr>
                <w:rFonts w:ascii="Arial Narrow" w:hAnsi="Arial Narrow"/>
                <w:color w:val="000000" w:themeColor="text1"/>
                <w:lang w:val="es-CO"/>
              </w:rPr>
            </w:pPr>
            <w:r w:rsidRPr="0048250D">
              <w:rPr>
                <w:rFonts w:ascii="Arial Narrow" w:hAnsi="Arial Narrow"/>
                <w:color w:val="000000" w:themeColor="text1"/>
                <w:lang w:val="es-CO"/>
              </w:rPr>
              <w:t>Para reforzar este argumento, la defensa cita el artículo 37 de la Ley 1122 de 2007, que le otorga a la Superintendencia el deber de:</w:t>
            </w:r>
          </w:p>
          <w:p w14:paraId="4B4A47E7" w14:textId="77777777" w:rsidR="00F0238B" w:rsidRPr="0048250D" w:rsidRDefault="00F0238B" w:rsidP="00F0238B">
            <w:pPr>
              <w:ind w:left="476" w:right="567"/>
              <w:jc w:val="both"/>
              <w:rPr>
                <w:rFonts w:ascii="Arial Narrow" w:hAnsi="Arial Narrow"/>
                <w:color w:val="000000" w:themeColor="text1"/>
                <w:lang w:val="es-CO"/>
              </w:rPr>
            </w:pPr>
          </w:p>
          <w:p w14:paraId="7BB55663" w14:textId="77777777" w:rsidR="00F0238B" w:rsidRDefault="00F0238B" w:rsidP="00F0238B">
            <w:pPr>
              <w:pStyle w:val="Prrafodelista"/>
              <w:numPr>
                <w:ilvl w:val="0"/>
                <w:numId w:val="36"/>
              </w:numPr>
              <w:ind w:right="567"/>
              <w:jc w:val="both"/>
              <w:rPr>
                <w:rFonts w:ascii="Arial Narrow" w:hAnsi="Arial Narrow"/>
                <w:color w:val="000000" w:themeColor="text1"/>
                <w:lang w:val="es-CO"/>
              </w:rPr>
            </w:pPr>
            <w:r w:rsidRPr="0048250D">
              <w:rPr>
                <w:rFonts w:ascii="Arial Narrow" w:hAnsi="Arial Narrow"/>
                <w:color w:val="000000" w:themeColor="text1"/>
                <w:lang w:val="es-CO"/>
              </w:rPr>
              <w:t xml:space="preserve">Supervisar el cumplimiento de las normas sanitarias y financieras en los procesos de liquidación de EPS. </w:t>
            </w:r>
          </w:p>
          <w:p w14:paraId="76BFFC43" w14:textId="77777777" w:rsidR="00F0238B" w:rsidRPr="0048250D" w:rsidRDefault="00F0238B" w:rsidP="00F0238B">
            <w:pPr>
              <w:pStyle w:val="Prrafodelista"/>
              <w:ind w:left="1196" w:right="567"/>
              <w:jc w:val="both"/>
              <w:rPr>
                <w:rFonts w:ascii="Arial Narrow" w:hAnsi="Arial Narrow"/>
                <w:color w:val="000000" w:themeColor="text1"/>
                <w:lang w:val="es-CO"/>
              </w:rPr>
            </w:pPr>
          </w:p>
          <w:p w14:paraId="3E3D908C" w14:textId="77777777" w:rsidR="00F0238B" w:rsidRDefault="00F0238B" w:rsidP="00F0238B">
            <w:pPr>
              <w:pStyle w:val="Prrafodelista"/>
              <w:numPr>
                <w:ilvl w:val="0"/>
                <w:numId w:val="36"/>
              </w:numPr>
              <w:ind w:right="567"/>
              <w:jc w:val="both"/>
              <w:rPr>
                <w:rFonts w:ascii="Arial Narrow" w:hAnsi="Arial Narrow"/>
                <w:color w:val="000000" w:themeColor="text1"/>
                <w:lang w:val="es-CO"/>
              </w:rPr>
            </w:pPr>
            <w:proofErr w:type="gramStart"/>
            <w:r w:rsidRPr="0048250D">
              <w:rPr>
                <w:rFonts w:ascii="Arial Narrow" w:hAnsi="Arial Narrow"/>
                <w:color w:val="000000" w:themeColor="text1"/>
                <w:lang w:val="es-CO"/>
              </w:rPr>
              <w:t>Asegurar</w:t>
            </w:r>
            <w:proofErr w:type="gramEnd"/>
            <w:r w:rsidRPr="0048250D">
              <w:rPr>
                <w:rFonts w:ascii="Arial Narrow" w:hAnsi="Arial Narrow"/>
                <w:color w:val="000000" w:themeColor="text1"/>
                <w:lang w:val="es-CO"/>
              </w:rPr>
              <w:t xml:space="preserve"> que los derechos de los afiliados sean protegidos durante la liquidación. </w:t>
            </w:r>
          </w:p>
          <w:p w14:paraId="5ADF2E96" w14:textId="77777777" w:rsidR="00F0238B" w:rsidRPr="0048250D" w:rsidRDefault="00F0238B" w:rsidP="00F0238B">
            <w:pPr>
              <w:ind w:right="567"/>
              <w:jc w:val="both"/>
              <w:rPr>
                <w:rFonts w:ascii="Arial Narrow" w:hAnsi="Arial Narrow"/>
                <w:color w:val="000000" w:themeColor="text1"/>
                <w:lang w:val="es-CO"/>
              </w:rPr>
            </w:pPr>
          </w:p>
          <w:p w14:paraId="3F0B27A1" w14:textId="77777777" w:rsidR="00F0238B" w:rsidRPr="0048250D" w:rsidRDefault="00F0238B" w:rsidP="00F0238B">
            <w:pPr>
              <w:pStyle w:val="Prrafodelista"/>
              <w:numPr>
                <w:ilvl w:val="0"/>
                <w:numId w:val="36"/>
              </w:numPr>
              <w:ind w:right="567"/>
              <w:jc w:val="both"/>
              <w:rPr>
                <w:rFonts w:ascii="Arial Narrow" w:hAnsi="Arial Narrow"/>
                <w:color w:val="000000" w:themeColor="text1"/>
                <w:lang w:val="es-CO"/>
              </w:rPr>
            </w:pPr>
            <w:r w:rsidRPr="0048250D">
              <w:rPr>
                <w:rFonts w:ascii="Arial Narrow" w:hAnsi="Arial Narrow"/>
                <w:color w:val="000000" w:themeColor="text1"/>
                <w:lang w:val="es-CO"/>
              </w:rPr>
              <w:t>Garantizar que los recursos de la salud sean administrados correctamente.</w:t>
            </w:r>
          </w:p>
          <w:p w14:paraId="29FC1DFC" w14:textId="77777777" w:rsidR="00F0238B" w:rsidRPr="0048250D" w:rsidRDefault="00F0238B" w:rsidP="00F0238B">
            <w:pPr>
              <w:ind w:left="476" w:right="567"/>
              <w:jc w:val="both"/>
              <w:rPr>
                <w:rFonts w:ascii="Arial Narrow" w:hAnsi="Arial Narrow"/>
                <w:color w:val="000000" w:themeColor="text1"/>
                <w:lang w:val="es-CO"/>
              </w:rPr>
            </w:pPr>
          </w:p>
          <w:p w14:paraId="481725DC" w14:textId="77777777" w:rsidR="00F0238B" w:rsidRPr="0048250D" w:rsidRDefault="00F0238B" w:rsidP="00F0238B">
            <w:pPr>
              <w:ind w:left="476" w:right="567"/>
              <w:jc w:val="both"/>
              <w:rPr>
                <w:rFonts w:ascii="Arial Narrow" w:hAnsi="Arial Narrow"/>
                <w:color w:val="000000" w:themeColor="text1"/>
                <w:lang w:val="es-CO"/>
              </w:rPr>
            </w:pPr>
            <w:r w:rsidRPr="0048250D">
              <w:rPr>
                <w:rFonts w:ascii="Arial Narrow" w:hAnsi="Arial Narrow"/>
                <w:color w:val="000000" w:themeColor="text1"/>
                <w:lang w:val="es-CO"/>
              </w:rPr>
              <w:t>Sin embargo, la Superintendencia insiste en que estas competencias de supervisión no significan que sea la responsable de las decisiones adoptadas por el agente liquidador, quien tiene autonomía para calificar y priorizar acreencias dentro del proceso de liquidación.</w:t>
            </w:r>
          </w:p>
          <w:p w14:paraId="3B14568B" w14:textId="77777777" w:rsidR="00F0238B" w:rsidRPr="0048250D" w:rsidRDefault="00F0238B" w:rsidP="00F0238B">
            <w:pPr>
              <w:ind w:left="476" w:right="567"/>
              <w:jc w:val="both"/>
              <w:rPr>
                <w:rFonts w:ascii="Arial Narrow" w:hAnsi="Arial Narrow"/>
                <w:color w:val="000000" w:themeColor="text1"/>
                <w:lang w:val="es-CO"/>
              </w:rPr>
            </w:pPr>
          </w:p>
          <w:p w14:paraId="1648E25F" w14:textId="7814B18E" w:rsidR="00F0238B" w:rsidRPr="0048250D" w:rsidRDefault="00F0238B" w:rsidP="00F0238B">
            <w:pPr>
              <w:ind w:left="476" w:right="567"/>
              <w:jc w:val="both"/>
              <w:rPr>
                <w:rFonts w:ascii="Arial Narrow" w:hAnsi="Arial Narrow"/>
                <w:color w:val="000000" w:themeColor="text1"/>
                <w:lang w:val="es-CO"/>
              </w:rPr>
            </w:pPr>
            <w:r w:rsidRPr="0048250D">
              <w:rPr>
                <w:rFonts w:ascii="Arial Narrow" w:hAnsi="Arial Narrow"/>
                <w:color w:val="000000" w:themeColor="text1"/>
                <w:lang w:val="es-CO"/>
              </w:rPr>
              <w:t xml:space="preserve">De este modo, la defensa señala que su función en la liquidación de </w:t>
            </w:r>
            <w:r w:rsidR="00E31B1C">
              <w:rPr>
                <w:rFonts w:ascii="Arial Narrow" w:hAnsi="Arial Narrow"/>
                <w:color w:val="000000" w:themeColor="text1"/>
                <w:lang w:val="es-CO"/>
              </w:rPr>
              <w:t>COOMEVA EPS</w:t>
            </w:r>
            <w:r w:rsidRPr="0048250D">
              <w:rPr>
                <w:rFonts w:ascii="Arial Narrow" w:hAnsi="Arial Narrow"/>
                <w:color w:val="000000" w:themeColor="text1"/>
                <w:lang w:val="es-CO"/>
              </w:rPr>
              <w:t xml:space="preserve"> se limitó a verificar que el proceso se desarrollara conforme a la ley, pero sin intervenir en la toma de decisiones sobre la destinación de los recursos en cuestión.</w:t>
            </w:r>
          </w:p>
          <w:p w14:paraId="0521221E" w14:textId="77777777" w:rsidR="00F0238B" w:rsidRPr="0048250D" w:rsidRDefault="00F0238B" w:rsidP="00F0238B">
            <w:pPr>
              <w:ind w:left="476" w:right="567"/>
              <w:jc w:val="both"/>
              <w:rPr>
                <w:rFonts w:ascii="Arial Narrow" w:hAnsi="Arial Narrow"/>
                <w:color w:val="000000" w:themeColor="text1"/>
                <w:lang w:val="es-CO"/>
              </w:rPr>
            </w:pPr>
          </w:p>
          <w:p w14:paraId="632696F0" w14:textId="77777777" w:rsidR="00F0238B" w:rsidRDefault="00F0238B" w:rsidP="00F0238B">
            <w:pPr>
              <w:ind w:left="476" w:right="567"/>
              <w:jc w:val="both"/>
              <w:rPr>
                <w:rFonts w:ascii="Arial Narrow" w:hAnsi="Arial Narrow"/>
                <w:color w:val="000000" w:themeColor="text1"/>
                <w:lang w:val="es-CO"/>
              </w:rPr>
            </w:pPr>
            <w:r w:rsidRPr="0048250D">
              <w:rPr>
                <w:rFonts w:ascii="Arial Narrow" w:hAnsi="Arial Narrow"/>
                <w:color w:val="000000" w:themeColor="text1"/>
                <w:lang w:val="es-CO"/>
              </w:rPr>
              <w:t xml:space="preserve">Para reforzar su posición, la defensa cita jurisprudencia del Consejo de Estado, específicamente la sentencia </w:t>
            </w:r>
            <w:proofErr w:type="spellStart"/>
            <w:r w:rsidRPr="0048250D">
              <w:rPr>
                <w:rFonts w:ascii="Arial Narrow" w:hAnsi="Arial Narrow"/>
                <w:color w:val="000000" w:themeColor="text1"/>
                <w:lang w:val="es-CO"/>
              </w:rPr>
              <w:t>Exp</w:t>
            </w:r>
            <w:proofErr w:type="spellEnd"/>
            <w:r w:rsidRPr="0048250D">
              <w:rPr>
                <w:rFonts w:ascii="Arial Narrow" w:hAnsi="Arial Narrow"/>
                <w:color w:val="000000" w:themeColor="text1"/>
                <w:lang w:val="es-CO"/>
              </w:rPr>
              <w:t>. 15071 de 2007, que establece que las superintendencias no crean derechos ni obligaciones dentro de los sectores que vigilan, sino que su función es asegurar el cumplimiento del marco normativo aplicable.</w:t>
            </w:r>
          </w:p>
          <w:p w14:paraId="5A795E50" w14:textId="77777777" w:rsidR="00F0238B" w:rsidRDefault="00F0238B" w:rsidP="00F0238B">
            <w:pPr>
              <w:ind w:left="476" w:right="567"/>
              <w:jc w:val="both"/>
              <w:rPr>
                <w:rFonts w:ascii="Arial Narrow" w:hAnsi="Arial Narrow"/>
                <w:color w:val="000000" w:themeColor="text1"/>
                <w:lang w:val="es-CO"/>
              </w:rPr>
            </w:pPr>
          </w:p>
          <w:p w14:paraId="7D23F6D4" w14:textId="77777777" w:rsidR="00F0238B" w:rsidRPr="0048250D" w:rsidRDefault="00F0238B" w:rsidP="00F0238B">
            <w:pPr>
              <w:ind w:left="476" w:right="567"/>
              <w:jc w:val="both"/>
              <w:rPr>
                <w:rFonts w:ascii="Arial Narrow" w:hAnsi="Arial Narrow"/>
                <w:color w:val="000000" w:themeColor="text1"/>
                <w:lang w:val="es-CO"/>
              </w:rPr>
            </w:pPr>
            <w:r w:rsidRPr="0048250D">
              <w:rPr>
                <w:rFonts w:ascii="Arial Narrow" w:hAnsi="Arial Narrow"/>
                <w:color w:val="000000" w:themeColor="text1"/>
                <w:lang w:val="es-CO"/>
              </w:rPr>
              <w:t>La jurisprudencia indica que las superintendencias no pueden ser consideradas responsables por decisiones tomadas por entidades bajo su supervisión, a menos que se demuestre que:</w:t>
            </w:r>
          </w:p>
          <w:p w14:paraId="67C12610" w14:textId="77777777" w:rsidR="00F0238B" w:rsidRPr="0048250D" w:rsidRDefault="00F0238B" w:rsidP="00F0238B">
            <w:pPr>
              <w:ind w:left="476" w:right="567"/>
              <w:jc w:val="both"/>
              <w:rPr>
                <w:rFonts w:ascii="Arial Narrow" w:hAnsi="Arial Narrow"/>
                <w:color w:val="000000" w:themeColor="text1"/>
                <w:lang w:val="es-CO"/>
              </w:rPr>
            </w:pPr>
          </w:p>
          <w:p w14:paraId="77DE282C" w14:textId="77777777" w:rsidR="00F0238B" w:rsidRPr="0048250D" w:rsidRDefault="00F0238B" w:rsidP="00F0238B">
            <w:pPr>
              <w:pStyle w:val="Prrafodelista"/>
              <w:numPr>
                <w:ilvl w:val="0"/>
                <w:numId w:val="37"/>
              </w:numPr>
              <w:ind w:right="567"/>
              <w:jc w:val="both"/>
              <w:rPr>
                <w:rFonts w:ascii="Arial Narrow" w:hAnsi="Arial Narrow"/>
                <w:color w:val="000000" w:themeColor="text1"/>
                <w:lang w:val="es-CO"/>
              </w:rPr>
            </w:pPr>
            <w:r w:rsidRPr="0048250D">
              <w:rPr>
                <w:rFonts w:ascii="Arial Narrow" w:hAnsi="Arial Narrow"/>
                <w:color w:val="000000" w:themeColor="text1"/>
                <w:lang w:val="es-CO"/>
              </w:rPr>
              <w:t xml:space="preserve">Hubo omisión grave en sus funciones de vigilancia y control. </w:t>
            </w:r>
          </w:p>
          <w:p w14:paraId="20B82390" w14:textId="77777777" w:rsidR="00F0238B" w:rsidRPr="0048250D" w:rsidRDefault="00F0238B" w:rsidP="00F0238B">
            <w:pPr>
              <w:ind w:left="476" w:right="567"/>
              <w:jc w:val="both"/>
              <w:rPr>
                <w:rFonts w:ascii="Arial Narrow" w:hAnsi="Arial Narrow"/>
                <w:color w:val="000000" w:themeColor="text1"/>
                <w:lang w:val="es-CO"/>
              </w:rPr>
            </w:pPr>
          </w:p>
          <w:p w14:paraId="5338FD4A" w14:textId="77777777" w:rsidR="00F0238B" w:rsidRPr="0048250D" w:rsidRDefault="00F0238B" w:rsidP="00F0238B">
            <w:pPr>
              <w:pStyle w:val="Prrafodelista"/>
              <w:numPr>
                <w:ilvl w:val="0"/>
                <w:numId w:val="37"/>
              </w:numPr>
              <w:ind w:right="567"/>
              <w:jc w:val="both"/>
              <w:rPr>
                <w:rFonts w:ascii="Arial Narrow" w:hAnsi="Arial Narrow"/>
                <w:color w:val="000000" w:themeColor="text1"/>
                <w:lang w:val="es-CO"/>
              </w:rPr>
            </w:pPr>
            <w:r w:rsidRPr="0048250D">
              <w:rPr>
                <w:rFonts w:ascii="Arial Narrow" w:hAnsi="Arial Narrow"/>
                <w:color w:val="000000" w:themeColor="text1"/>
                <w:lang w:val="es-CO"/>
              </w:rPr>
              <w:t>Intervino directamente en la toma de decisiones administrativas en la entidad vigilada.</w:t>
            </w:r>
          </w:p>
          <w:p w14:paraId="4C59DFA4" w14:textId="77777777" w:rsidR="00F0238B" w:rsidRPr="0048250D" w:rsidRDefault="00F0238B" w:rsidP="00F0238B">
            <w:pPr>
              <w:ind w:left="476" w:right="567"/>
              <w:jc w:val="both"/>
              <w:rPr>
                <w:rFonts w:ascii="Arial Narrow" w:hAnsi="Arial Narrow"/>
                <w:color w:val="000000" w:themeColor="text1"/>
                <w:lang w:val="es-CO"/>
              </w:rPr>
            </w:pPr>
          </w:p>
          <w:p w14:paraId="2EE575AA" w14:textId="760BD93B" w:rsidR="00F0238B" w:rsidRDefault="00F0238B" w:rsidP="00F0238B">
            <w:pPr>
              <w:ind w:left="476" w:right="567"/>
              <w:jc w:val="both"/>
              <w:rPr>
                <w:rFonts w:ascii="Arial Narrow" w:hAnsi="Arial Narrow"/>
                <w:color w:val="000000" w:themeColor="text1"/>
                <w:lang w:val="es-CO"/>
              </w:rPr>
            </w:pPr>
            <w:r w:rsidRPr="0048250D">
              <w:rPr>
                <w:rFonts w:ascii="Arial Narrow" w:hAnsi="Arial Narrow"/>
                <w:color w:val="000000" w:themeColor="text1"/>
                <w:lang w:val="es-CO"/>
              </w:rPr>
              <w:t xml:space="preserve">En el caso concreto de </w:t>
            </w:r>
            <w:r w:rsidR="005A2EEA">
              <w:rPr>
                <w:rFonts w:ascii="Arial Narrow" w:hAnsi="Arial Narrow"/>
                <w:color w:val="000000" w:themeColor="text1"/>
                <w:lang w:val="es-CO"/>
              </w:rPr>
              <w:t>COOMEVA EPS LIQUIDADA</w:t>
            </w:r>
            <w:r w:rsidRPr="0048250D">
              <w:rPr>
                <w:rFonts w:ascii="Arial Narrow" w:hAnsi="Arial Narrow"/>
                <w:color w:val="000000" w:themeColor="text1"/>
                <w:lang w:val="es-CO"/>
              </w:rPr>
              <w:t>, la Superintendencia argumenta que no incurrió en ninguna de estas situaciones, ya que:</w:t>
            </w:r>
          </w:p>
          <w:p w14:paraId="33DFC17E" w14:textId="77777777" w:rsidR="00F0238B" w:rsidRDefault="00F0238B" w:rsidP="00F0238B">
            <w:pPr>
              <w:ind w:left="476" w:right="567"/>
              <w:jc w:val="both"/>
              <w:rPr>
                <w:rFonts w:ascii="Arial Narrow" w:hAnsi="Arial Narrow"/>
                <w:color w:val="000000" w:themeColor="text1"/>
                <w:lang w:val="es-CO"/>
              </w:rPr>
            </w:pPr>
          </w:p>
          <w:p w14:paraId="2A0EC43C" w14:textId="77777777" w:rsidR="00F0238B" w:rsidRPr="00FE39D5" w:rsidRDefault="00F0238B" w:rsidP="00F0238B">
            <w:pPr>
              <w:pStyle w:val="Prrafodelista"/>
              <w:numPr>
                <w:ilvl w:val="0"/>
                <w:numId w:val="38"/>
              </w:numPr>
              <w:ind w:right="567"/>
              <w:jc w:val="both"/>
              <w:rPr>
                <w:rFonts w:ascii="Arial Narrow" w:hAnsi="Arial Narrow"/>
                <w:color w:val="000000" w:themeColor="text1"/>
                <w:lang w:val="es-CO"/>
              </w:rPr>
            </w:pPr>
            <w:r w:rsidRPr="00FE39D5">
              <w:rPr>
                <w:rFonts w:ascii="Arial Narrow" w:hAnsi="Arial Narrow"/>
                <w:color w:val="000000" w:themeColor="text1"/>
                <w:lang w:val="es-CO"/>
              </w:rPr>
              <w:t xml:space="preserve">No participó en la expedición de los actos administrativos demandados. </w:t>
            </w:r>
          </w:p>
          <w:p w14:paraId="138AF3E3" w14:textId="77777777" w:rsidR="00F0238B" w:rsidRPr="0048250D" w:rsidRDefault="00F0238B" w:rsidP="00F0238B">
            <w:pPr>
              <w:ind w:left="476" w:right="567"/>
              <w:jc w:val="both"/>
              <w:rPr>
                <w:rFonts w:ascii="Arial Narrow" w:hAnsi="Arial Narrow"/>
                <w:color w:val="000000" w:themeColor="text1"/>
                <w:lang w:val="es-CO"/>
              </w:rPr>
            </w:pPr>
          </w:p>
          <w:p w14:paraId="54BB06E2" w14:textId="77777777" w:rsidR="00F0238B" w:rsidRPr="00FE39D5" w:rsidRDefault="00F0238B" w:rsidP="00F0238B">
            <w:pPr>
              <w:pStyle w:val="Prrafodelista"/>
              <w:numPr>
                <w:ilvl w:val="0"/>
                <w:numId w:val="38"/>
              </w:numPr>
              <w:ind w:right="567"/>
              <w:jc w:val="both"/>
              <w:rPr>
                <w:rFonts w:ascii="Arial Narrow" w:hAnsi="Arial Narrow"/>
                <w:color w:val="000000" w:themeColor="text1"/>
                <w:lang w:val="es-CO"/>
              </w:rPr>
            </w:pPr>
            <w:r w:rsidRPr="00FE39D5">
              <w:rPr>
                <w:rFonts w:ascii="Arial Narrow" w:hAnsi="Arial Narrow"/>
                <w:color w:val="000000" w:themeColor="text1"/>
                <w:lang w:val="es-CO"/>
              </w:rPr>
              <w:t xml:space="preserve">No intervino en la clasificación de acreencias ni en la determinación de la masa </w:t>
            </w:r>
            <w:proofErr w:type="spellStart"/>
            <w:r w:rsidRPr="00FE39D5">
              <w:rPr>
                <w:rFonts w:ascii="Arial Narrow" w:hAnsi="Arial Narrow"/>
                <w:color w:val="000000" w:themeColor="text1"/>
                <w:lang w:val="es-CO"/>
              </w:rPr>
              <w:t>liquidatoria</w:t>
            </w:r>
            <w:proofErr w:type="spellEnd"/>
            <w:r w:rsidRPr="00FE39D5">
              <w:rPr>
                <w:rFonts w:ascii="Arial Narrow" w:hAnsi="Arial Narrow"/>
                <w:color w:val="000000" w:themeColor="text1"/>
                <w:lang w:val="es-CO"/>
              </w:rPr>
              <w:t xml:space="preserve">. </w:t>
            </w:r>
          </w:p>
          <w:p w14:paraId="2603E784" w14:textId="77777777" w:rsidR="00F0238B" w:rsidRPr="0048250D" w:rsidRDefault="00F0238B" w:rsidP="00F0238B">
            <w:pPr>
              <w:ind w:left="476" w:right="567"/>
              <w:jc w:val="both"/>
              <w:rPr>
                <w:rFonts w:ascii="Arial Narrow" w:hAnsi="Arial Narrow"/>
                <w:color w:val="000000" w:themeColor="text1"/>
                <w:lang w:val="es-CO"/>
              </w:rPr>
            </w:pPr>
          </w:p>
          <w:p w14:paraId="7ED57D81" w14:textId="77777777" w:rsidR="00F0238B" w:rsidRPr="00FE39D5" w:rsidRDefault="00F0238B" w:rsidP="00F0238B">
            <w:pPr>
              <w:pStyle w:val="Prrafodelista"/>
              <w:numPr>
                <w:ilvl w:val="0"/>
                <w:numId w:val="38"/>
              </w:numPr>
              <w:ind w:right="567"/>
              <w:jc w:val="both"/>
              <w:rPr>
                <w:rFonts w:ascii="Arial Narrow" w:hAnsi="Arial Narrow"/>
                <w:color w:val="000000" w:themeColor="text1"/>
                <w:lang w:val="es-CO"/>
              </w:rPr>
            </w:pPr>
            <w:r w:rsidRPr="00FE39D5">
              <w:rPr>
                <w:rFonts w:ascii="Arial Narrow" w:hAnsi="Arial Narrow"/>
                <w:color w:val="000000" w:themeColor="text1"/>
                <w:lang w:val="es-CO"/>
              </w:rPr>
              <w:t>No incurrió en omisión alguna que afectara los derechos de la ADRES en el proceso.</w:t>
            </w:r>
          </w:p>
          <w:p w14:paraId="3501301F" w14:textId="77777777" w:rsidR="00BB4F9B" w:rsidRDefault="00BB4F9B" w:rsidP="0036163B">
            <w:pPr>
              <w:ind w:left="476" w:right="567"/>
              <w:jc w:val="both"/>
              <w:rPr>
                <w:rFonts w:ascii="Arial Narrow" w:hAnsi="Arial Narrow"/>
                <w:color w:val="000000" w:themeColor="text1"/>
                <w:lang w:val="es-CO"/>
              </w:rPr>
            </w:pPr>
          </w:p>
          <w:p w14:paraId="54CA6AF7" w14:textId="68D9C8A7" w:rsidR="00BB4F9B" w:rsidRPr="0036163B" w:rsidRDefault="00BB4F9B" w:rsidP="0036163B">
            <w:pPr>
              <w:ind w:left="476" w:right="567"/>
              <w:jc w:val="both"/>
              <w:rPr>
                <w:rFonts w:ascii="Arial Narrow" w:hAnsi="Arial Narrow"/>
                <w:color w:val="000000" w:themeColor="text1"/>
                <w:lang w:val="es-CO"/>
              </w:rPr>
            </w:pPr>
            <w:r w:rsidRPr="00BB4F9B">
              <w:rPr>
                <w:rFonts w:ascii="Arial Narrow" w:hAnsi="Arial Narrow"/>
                <w:b/>
                <w:bCs/>
                <w:color w:val="000000" w:themeColor="text1"/>
                <w:lang w:val="es-CO"/>
              </w:rPr>
              <w:t>8.2. COOMEVA EPS LIQUIDADA:</w:t>
            </w:r>
            <w:r>
              <w:rPr>
                <w:rFonts w:ascii="Arial Narrow" w:hAnsi="Arial Narrow"/>
                <w:color w:val="000000" w:themeColor="text1"/>
                <w:lang w:val="es-CO"/>
              </w:rPr>
              <w:t xml:space="preserve"> No contestó la demanda.</w:t>
            </w:r>
          </w:p>
          <w:p w14:paraId="021AE344" w14:textId="77777777" w:rsidR="00BB4F9B" w:rsidRPr="007F2B6C" w:rsidRDefault="00BB4F9B" w:rsidP="0096478A">
            <w:pPr>
              <w:pStyle w:val="TableParagraph"/>
              <w:tabs>
                <w:tab w:val="left" w:pos="584"/>
              </w:tabs>
              <w:ind w:right="458"/>
              <w:jc w:val="both"/>
              <w:rPr>
                <w:rFonts w:ascii="Arial Narrow" w:hAnsi="Arial Narrow"/>
                <w:color w:val="FF0000"/>
              </w:rPr>
            </w:pPr>
          </w:p>
          <w:p w14:paraId="3F655AA5" w14:textId="0DB83408" w:rsidR="009D509B" w:rsidRPr="007F2B6C" w:rsidRDefault="002E2A89" w:rsidP="00CF25F1">
            <w:pPr>
              <w:pStyle w:val="TableParagraph"/>
              <w:numPr>
                <w:ilvl w:val="0"/>
                <w:numId w:val="2"/>
              </w:numPr>
              <w:tabs>
                <w:tab w:val="left" w:pos="584"/>
              </w:tabs>
              <w:ind w:left="836" w:right="458"/>
              <w:jc w:val="both"/>
              <w:rPr>
                <w:rFonts w:ascii="Arial Narrow" w:hAnsi="Arial Narrow"/>
                <w:color w:val="000000" w:themeColor="text1"/>
                <w:lang w:val="es-CO"/>
              </w:rPr>
            </w:pPr>
            <w:r w:rsidRPr="007F2B6C">
              <w:rPr>
                <w:rFonts w:ascii="Arial Narrow" w:hAnsi="Arial Narrow"/>
                <w:b/>
                <w:color w:val="000000" w:themeColor="text1"/>
                <w:lang w:val="es-CO"/>
              </w:rPr>
              <w:t xml:space="preserve">Análisis de </w:t>
            </w:r>
            <w:r w:rsidR="0007261C">
              <w:rPr>
                <w:rFonts w:ascii="Arial Narrow" w:hAnsi="Arial Narrow"/>
                <w:b/>
                <w:color w:val="000000" w:themeColor="text1"/>
                <w:lang w:val="es-CO"/>
              </w:rPr>
              <w:t>caducidad.</w:t>
            </w:r>
          </w:p>
          <w:p w14:paraId="2E53378C" w14:textId="77777777" w:rsidR="009D509B" w:rsidRDefault="009D509B" w:rsidP="0096478A">
            <w:pPr>
              <w:pStyle w:val="TableParagraph"/>
              <w:tabs>
                <w:tab w:val="left" w:pos="584"/>
              </w:tabs>
              <w:ind w:left="440" w:right="458"/>
              <w:jc w:val="both"/>
              <w:rPr>
                <w:rFonts w:ascii="Arial Narrow" w:hAnsi="Arial Narrow"/>
                <w:color w:val="000000" w:themeColor="text1"/>
                <w:lang w:val="es-CO"/>
              </w:rPr>
            </w:pPr>
          </w:p>
          <w:p w14:paraId="3DE2388D" w14:textId="77777777" w:rsidR="00343D9C" w:rsidRPr="00343D9C" w:rsidRDefault="00343D9C" w:rsidP="00343D9C">
            <w:pPr>
              <w:pStyle w:val="TableParagraph"/>
              <w:tabs>
                <w:tab w:val="left" w:pos="584"/>
              </w:tabs>
              <w:ind w:left="440" w:right="458"/>
              <w:jc w:val="both"/>
              <w:rPr>
                <w:rFonts w:ascii="Arial Narrow" w:hAnsi="Arial Narrow"/>
                <w:color w:val="000000" w:themeColor="text1"/>
              </w:rPr>
            </w:pPr>
            <w:r w:rsidRPr="00343D9C">
              <w:rPr>
                <w:rFonts w:ascii="Arial Narrow" w:hAnsi="Arial Narrow"/>
                <w:color w:val="000000" w:themeColor="text1"/>
              </w:rPr>
              <w:t xml:space="preserve">Teniendo en cuenta que el medio de control instaurado es el de nulidad y restablecimiento del derecho consagrado en el artículo 164 de la Ley 1437 de 2011 que dispone:  </w:t>
            </w:r>
          </w:p>
          <w:p w14:paraId="2AA040C8" w14:textId="77777777" w:rsidR="00343D9C" w:rsidRPr="00343D9C" w:rsidRDefault="00343D9C" w:rsidP="00343D9C">
            <w:pPr>
              <w:pStyle w:val="TableParagraph"/>
              <w:tabs>
                <w:tab w:val="left" w:pos="584"/>
              </w:tabs>
              <w:ind w:left="873" w:right="458"/>
              <w:jc w:val="both"/>
              <w:rPr>
                <w:rFonts w:ascii="Arial Narrow" w:hAnsi="Arial Narrow"/>
                <w:i/>
                <w:iCs/>
                <w:color w:val="000000" w:themeColor="text1"/>
                <w:sz w:val="20"/>
                <w:szCs w:val="20"/>
              </w:rPr>
            </w:pPr>
            <w:r w:rsidRPr="00343D9C">
              <w:rPr>
                <w:rFonts w:ascii="Arial Narrow" w:hAnsi="Arial Narrow"/>
                <w:i/>
                <w:iCs/>
                <w:color w:val="000000" w:themeColor="text1"/>
                <w:sz w:val="20"/>
                <w:szCs w:val="20"/>
              </w:rPr>
              <w:t xml:space="preserve"> </w:t>
            </w:r>
          </w:p>
          <w:p w14:paraId="7DA6E96F" w14:textId="68CB9FC4" w:rsidR="00343D9C" w:rsidRPr="00343D9C" w:rsidRDefault="00343D9C" w:rsidP="00343D9C">
            <w:pPr>
              <w:pStyle w:val="TableParagraph"/>
              <w:tabs>
                <w:tab w:val="left" w:pos="584"/>
              </w:tabs>
              <w:ind w:left="873" w:right="458"/>
              <w:jc w:val="both"/>
              <w:rPr>
                <w:rFonts w:ascii="Arial Narrow" w:hAnsi="Arial Narrow"/>
                <w:i/>
                <w:iCs/>
                <w:color w:val="000000" w:themeColor="text1"/>
                <w:sz w:val="20"/>
                <w:szCs w:val="20"/>
              </w:rPr>
            </w:pPr>
            <w:r w:rsidRPr="00343D9C">
              <w:rPr>
                <w:rFonts w:ascii="Arial Narrow" w:hAnsi="Arial Narrow"/>
                <w:i/>
                <w:iCs/>
                <w:color w:val="000000" w:themeColor="text1"/>
                <w:sz w:val="20"/>
                <w:szCs w:val="20"/>
              </w:rPr>
              <w:t>“(….) ARTÍCULO 164. OPORTUNIDAD PARA PRESENTAR LA DEMANDA. La demanda deberá ser presentada</w:t>
            </w:r>
            <w:proofErr w:type="gramStart"/>
            <w:r w:rsidRPr="00343D9C">
              <w:rPr>
                <w:rFonts w:ascii="Arial Narrow" w:hAnsi="Arial Narrow"/>
                <w:i/>
                <w:iCs/>
                <w:color w:val="000000" w:themeColor="text1"/>
                <w:sz w:val="20"/>
                <w:szCs w:val="20"/>
              </w:rPr>
              <w:t>:  (</w:t>
            </w:r>
            <w:proofErr w:type="gramEnd"/>
            <w:r w:rsidRPr="00343D9C">
              <w:rPr>
                <w:rFonts w:ascii="Arial Narrow" w:hAnsi="Arial Narrow"/>
                <w:i/>
                <w:iCs/>
                <w:color w:val="000000" w:themeColor="text1"/>
                <w:sz w:val="20"/>
                <w:szCs w:val="20"/>
              </w:rPr>
              <w:t xml:space="preserve">…)  </w:t>
            </w:r>
          </w:p>
          <w:p w14:paraId="075648BB" w14:textId="77777777" w:rsidR="00343D9C" w:rsidRPr="00343D9C" w:rsidRDefault="00343D9C" w:rsidP="00343D9C">
            <w:pPr>
              <w:pStyle w:val="TableParagraph"/>
              <w:tabs>
                <w:tab w:val="left" w:pos="584"/>
              </w:tabs>
              <w:ind w:left="873" w:right="458"/>
              <w:jc w:val="both"/>
              <w:rPr>
                <w:rFonts w:ascii="Arial Narrow" w:hAnsi="Arial Narrow"/>
                <w:i/>
                <w:iCs/>
                <w:color w:val="000000" w:themeColor="text1"/>
                <w:sz w:val="20"/>
                <w:szCs w:val="20"/>
              </w:rPr>
            </w:pPr>
            <w:r w:rsidRPr="00343D9C">
              <w:rPr>
                <w:rFonts w:ascii="Arial Narrow" w:hAnsi="Arial Narrow"/>
                <w:i/>
                <w:iCs/>
                <w:color w:val="000000" w:themeColor="text1"/>
                <w:sz w:val="20"/>
                <w:szCs w:val="20"/>
              </w:rPr>
              <w:t xml:space="preserve"> </w:t>
            </w:r>
          </w:p>
          <w:p w14:paraId="1430D5B9" w14:textId="77777777" w:rsidR="00343D9C" w:rsidRPr="00343D9C" w:rsidRDefault="00343D9C" w:rsidP="00343D9C">
            <w:pPr>
              <w:pStyle w:val="TableParagraph"/>
              <w:tabs>
                <w:tab w:val="left" w:pos="584"/>
              </w:tabs>
              <w:ind w:left="873" w:right="458"/>
              <w:jc w:val="both"/>
              <w:rPr>
                <w:rFonts w:ascii="Arial Narrow" w:hAnsi="Arial Narrow"/>
                <w:i/>
                <w:iCs/>
                <w:color w:val="000000" w:themeColor="text1"/>
                <w:sz w:val="20"/>
                <w:szCs w:val="20"/>
              </w:rPr>
            </w:pPr>
            <w:r w:rsidRPr="00343D9C">
              <w:rPr>
                <w:rFonts w:ascii="Arial Narrow" w:hAnsi="Arial Narrow"/>
                <w:i/>
                <w:iCs/>
                <w:color w:val="000000" w:themeColor="text1"/>
                <w:sz w:val="20"/>
                <w:szCs w:val="20"/>
              </w:rPr>
              <w:t xml:space="preserve">1. Cuando se pretenda la nulidad y restablecimiento del derecho, la demanda deberá presentarse dentro del término de cuatro (4) meses contados a partir del día siguiente al de la comunicación, notificación, ejecución o publicación del acto administrativo, según </w:t>
            </w:r>
            <w:r w:rsidRPr="00343D9C">
              <w:rPr>
                <w:rFonts w:ascii="Arial Narrow" w:hAnsi="Arial Narrow"/>
                <w:i/>
                <w:iCs/>
                <w:color w:val="000000" w:themeColor="text1"/>
                <w:sz w:val="20"/>
                <w:szCs w:val="20"/>
              </w:rPr>
              <w:lastRenderedPageBreak/>
              <w:t xml:space="preserve">el caso, salvo las excepciones”  </w:t>
            </w:r>
          </w:p>
          <w:p w14:paraId="3083DEFE" w14:textId="77777777" w:rsidR="00343D9C" w:rsidRPr="00343D9C" w:rsidRDefault="00343D9C" w:rsidP="00343D9C">
            <w:pPr>
              <w:pStyle w:val="TableParagraph"/>
              <w:tabs>
                <w:tab w:val="left" w:pos="584"/>
              </w:tabs>
              <w:ind w:left="873" w:right="458"/>
              <w:jc w:val="both"/>
              <w:rPr>
                <w:rFonts w:ascii="Arial Narrow" w:hAnsi="Arial Narrow"/>
                <w:i/>
                <w:iCs/>
                <w:color w:val="000000" w:themeColor="text1"/>
                <w:sz w:val="20"/>
                <w:szCs w:val="20"/>
              </w:rPr>
            </w:pPr>
            <w:r w:rsidRPr="00343D9C">
              <w:rPr>
                <w:rFonts w:ascii="Arial Narrow" w:hAnsi="Arial Narrow"/>
                <w:i/>
                <w:iCs/>
                <w:color w:val="000000" w:themeColor="text1"/>
                <w:sz w:val="20"/>
                <w:szCs w:val="20"/>
              </w:rPr>
              <w:t xml:space="preserve"> </w:t>
            </w:r>
          </w:p>
          <w:p w14:paraId="7F16AEE5" w14:textId="77777777" w:rsidR="00D411E8" w:rsidRDefault="00343D9C" w:rsidP="00D411E8">
            <w:pPr>
              <w:pStyle w:val="TableParagraph"/>
              <w:tabs>
                <w:tab w:val="left" w:pos="584"/>
              </w:tabs>
              <w:ind w:left="440" w:right="458"/>
              <w:jc w:val="both"/>
              <w:rPr>
                <w:rFonts w:ascii="Arial Narrow" w:hAnsi="Arial Narrow"/>
                <w:color w:val="000000" w:themeColor="text1"/>
              </w:rPr>
            </w:pPr>
            <w:r w:rsidRPr="00343D9C">
              <w:rPr>
                <w:rFonts w:ascii="Arial Narrow" w:hAnsi="Arial Narrow"/>
                <w:color w:val="000000" w:themeColor="text1"/>
              </w:rPr>
              <w:t>Para el caso en concreto se destaca que el Agente Especial Liquidador COOMEVA EPS S.A</w:t>
            </w:r>
            <w:r w:rsidR="00D411E8">
              <w:rPr>
                <w:rFonts w:ascii="Arial Narrow" w:hAnsi="Arial Narrow"/>
                <w:color w:val="000000" w:themeColor="text1"/>
              </w:rPr>
              <w:t>.,</w:t>
            </w:r>
            <w:r w:rsidRPr="00343D9C">
              <w:rPr>
                <w:rFonts w:ascii="Arial Narrow" w:hAnsi="Arial Narrow"/>
                <w:color w:val="000000" w:themeColor="text1"/>
              </w:rPr>
              <w:t xml:space="preserve"> expidió</w:t>
            </w:r>
            <w:r w:rsidR="00D411E8">
              <w:rPr>
                <w:rFonts w:ascii="Arial Narrow" w:hAnsi="Arial Narrow"/>
                <w:color w:val="000000" w:themeColor="text1"/>
              </w:rPr>
              <w:t xml:space="preserve"> la </w:t>
            </w:r>
            <w:r w:rsidRPr="00D411E8">
              <w:rPr>
                <w:rFonts w:ascii="Arial Narrow" w:hAnsi="Arial Narrow"/>
                <w:b/>
                <w:bCs/>
                <w:color w:val="000000" w:themeColor="text1"/>
              </w:rPr>
              <w:t>Resolución No. A-009593 del 22 de diciembre de 2022</w:t>
            </w:r>
            <w:r w:rsidRPr="00343D9C">
              <w:rPr>
                <w:rFonts w:ascii="Arial Narrow" w:hAnsi="Arial Narrow"/>
                <w:color w:val="000000" w:themeColor="text1"/>
              </w:rPr>
              <w:t xml:space="preserve"> </w:t>
            </w:r>
            <w:r w:rsidRPr="00D411E8">
              <w:rPr>
                <w:rFonts w:ascii="Arial Narrow" w:hAnsi="Arial Narrow"/>
                <w:i/>
                <w:iCs/>
                <w:color w:val="000000" w:themeColor="text1"/>
              </w:rPr>
              <w:t>“POR MEDIO DE LA CUAL SE RESUELVE EL RECURSO DE REPOSICIÓN PRESENTADO CONTRA LA RESOLUCIÓN No. A-007549 de 2022”</w:t>
            </w:r>
            <w:r w:rsidR="00D411E8">
              <w:rPr>
                <w:rFonts w:ascii="Arial Narrow" w:hAnsi="Arial Narrow"/>
                <w:i/>
                <w:iCs/>
                <w:color w:val="000000" w:themeColor="text1"/>
              </w:rPr>
              <w:t xml:space="preserve">, </w:t>
            </w:r>
            <w:r w:rsidR="00D411E8" w:rsidRPr="00D411E8">
              <w:rPr>
                <w:rFonts w:ascii="Arial Narrow" w:hAnsi="Arial Narrow"/>
                <w:color w:val="000000" w:themeColor="text1"/>
              </w:rPr>
              <w:t>l</w:t>
            </w:r>
            <w:r w:rsidRPr="00D411E8">
              <w:rPr>
                <w:rFonts w:ascii="Arial Narrow" w:hAnsi="Arial Narrow"/>
                <w:color w:val="000000" w:themeColor="text1"/>
              </w:rPr>
              <w:t xml:space="preserve">a </w:t>
            </w:r>
            <w:r w:rsidRPr="00343D9C">
              <w:rPr>
                <w:rFonts w:ascii="Arial Narrow" w:hAnsi="Arial Narrow"/>
                <w:color w:val="000000" w:themeColor="text1"/>
              </w:rPr>
              <w:t xml:space="preserve">cual fue remitida vía correo electrónico el día </w:t>
            </w:r>
            <w:r w:rsidRPr="00D411E8">
              <w:rPr>
                <w:rFonts w:ascii="Arial Narrow" w:hAnsi="Arial Narrow"/>
                <w:b/>
                <w:bCs/>
                <w:color w:val="000000" w:themeColor="text1"/>
              </w:rPr>
              <w:t>12 DE ENERO DE 2023</w:t>
            </w:r>
            <w:r w:rsidRPr="00343D9C">
              <w:rPr>
                <w:rFonts w:ascii="Arial Narrow" w:hAnsi="Arial Narrow"/>
                <w:color w:val="000000" w:themeColor="text1"/>
              </w:rPr>
              <w:t xml:space="preserve"> a la ADRES y te</w:t>
            </w:r>
            <w:r w:rsidR="00D411E8">
              <w:rPr>
                <w:rFonts w:ascii="Arial Narrow" w:hAnsi="Arial Narrow"/>
                <w:color w:val="000000" w:themeColor="text1"/>
              </w:rPr>
              <w:t xml:space="preserve">niendo </w:t>
            </w:r>
            <w:r w:rsidRPr="00343D9C">
              <w:rPr>
                <w:rFonts w:ascii="Arial Narrow" w:hAnsi="Arial Narrow"/>
                <w:color w:val="000000" w:themeColor="text1"/>
              </w:rPr>
              <w:t xml:space="preserve">en cuenta que los términos de notificación correrán a partir del día hábil siguiente de notificación; deberá considerarse que la presentación del documento se adelanta con oportunidad ya que </w:t>
            </w:r>
            <w:r w:rsidR="00D411E8">
              <w:rPr>
                <w:rFonts w:ascii="Arial Narrow" w:hAnsi="Arial Narrow"/>
                <w:color w:val="000000" w:themeColor="text1"/>
              </w:rPr>
              <w:t>se está</w:t>
            </w:r>
            <w:r w:rsidRPr="00343D9C">
              <w:rPr>
                <w:rFonts w:ascii="Arial Narrow" w:hAnsi="Arial Narrow"/>
                <w:color w:val="000000" w:themeColor="text1"/>
              </w:rPr>
              <w:t xml:space="preserve"> de</w:t>
            </w:r>
            <w:r w:rsidR="00D411E8">
              <w:rPr>
                <w:rFonts w:ascii="Arial Narrow" w:hAnsi="Arial Narrow"/>
                <w:color w:val="000000" w:themeColor="text1"/>
              </w:rPr>
              <w:t>ntro de</w:t>
            </w:r>
            <w:r w:rsidRPr="00343D9C">
              <w:rPr>
                <w:rFonts w:ascii="Arial Narrow" w:hAnsi="Arial Narrow"/>
                <w:color w:val="000000" w:themeColor="text1"/>
              </w:rPr>
              <w:t xml:space="preserve"> los cuatro (4) meses siguientes a la expedición del acto administrativo objeto de reproche. </w:t>
            </w:r>
          </w:p>
          <w:p w14:paraId="5C93C879" w14:textId="77777777" w:rsidR="00D411E8" w:rsidRDefault="00D411E8" w:rsidP="00D411E8">
            <w:pPr>
              <w:pStyle w:val="TableParagraph"/>
              <w:tabs>
                <w:tab w:val="left" w:pos="584"/>
              </w:tabs>
              <w:ind w:left="440" w:right="458"/>
              <w:jc w:val="both"/>
              <w:rPr>
                <w:rFonts w:ascii="Arial Narrow" w:hAnsi="Arial Narrow"/>
                <w:color w:val="000000" w:themeColor="text1"/>
              </w:rPr>
            </w:pPr>
          </w:p>
          <w:p w14:paraId="3432F9CF" w14:textId="0AE1BBF4" w:rsidR="00343D9C" w:rsidRDefault="00343D9C" w:rsidP="00D411E8">
            <w:pPr>
              <w:pStyle w:val="TableParagraph"/>
              <w:tabs>
                <w:tab w:val="left" w:pos="584"/>
              </w:tabs>
              <w:ind w:left="440" w:right="458"/>
              <w:jc w:val="both"/>
              <w:rPr>
                <w:rFonts w:ascii="Arial Narrow" w:hAnsi="Arial Narrow"/>
                <w:color w:val="000000" w:themeColor="text1"/>
              </w:rPr>
            </w:pPr>
            <w:r w:rsidRPr="00343D9C">
              <w:rPr>
                <w:rFonts w:ascii="Arial Narrow" w:hAnsi="Arial Narrow"/>
                <w:color w:val="000000" w:themeColor="text1"/>
              </w:rPr>
              <w:t xml:space="preserve">De igual forma, se precisa que la </w:t>
            </w:r>
            <w:r w:rsidRPr="00D411E8">
              <w:rPr>
                <w:rFonts w:ascii="Arial Narrow" w:hAnsi="Arial Narrow"/>
                <w:b/>
                <w:bCs/>
                <w:color w:val="000000" w:themeColor="text1"/>
              </w:rPr>
              <w:t>Resolución No. A-014235 del 11 de abril de 2023</w:t>
            </w:r>
            <w:r w:rsidRPr="00343D9C">
              <w:rPr>
                <w:rFonts w:ascii="Arial Narrow" w:hAnsi="Arial Narrow"/>
                <w:color w:val="000000" w:themeColor="text1"/>
              </w:rPr>
              <w:t xml:space="preserve"> fue notificada de forma electrónica el </w:t>
            </w:r>
            <w:r w:rsidR="00D411E8">
              <w:rPr>
                <w:rFonts w:ascii="Arial Narrow" w:hAnsi="Arial Narrow"/>
                <w:color w:val="000000" w:themeColor="text1"/>
              </w:rPr>
              <w:t xml:space="preserve">día </w:t>
            </w:r>
            <w:r w:rsidRPr="00343D9C">
              <w:rPr>
                <w:rFonts w:ascii="Arial Narrow" w:hAnsi="Arial Narrow"/>
                <w:color w:val="000000" w:themeColor="text1"/>
              </w:rPr>
              <w:t xml:space="preserve">26 </w:t>
            </w:r>
            <w:r w:rsidRPr="00D411E8">
              <w:rPr>
                <w:rFonts w:ascii="Arial Narrow" w:hAnsi="Arial Narrow"/>
                <w:b/>
                <w:bCs/>
                <w:color w:val="000000" w:themeColor="text1"/>
              </w:rPr>
              <w:t>DE ABRIL DE 2023</w:t>
            </w:r>
            <w:r w:rsidRPr="00343D9C">
              <w:rPr>
                <w:rFonts w:ascii="Arial Narrow" w:hAnsi="Arial Narrow"/>
                <w:color w:val="000000" w:themeColor="text1"/>
              </w:rPr>
              <w:t xml:space="preserve">, respecto de lo cual es preciso señalar que tal como lo establece el artículo 76 del CPACA, no es necesario para agotar la actuación administrativa la presentación de recurso de reposición por su carácter facultativo. </w:t>
            </w:r>
          </w:p>
          <w:p w14:paraId="025A0316" w14:textId="77777777" w:rsidR="00D411E8" w:rsidRDefault="00D411E8" w:rsidP="00D411E8">
            <w:pPr>
              <w:pStyle w:val="TableParagraph"/>
              <w:tabs>
                <w:tab w:val="left" w:pos="584"/>
              </w:tabs>
              <w:ind w:left="440" w:right="458"/>
              <w:jc w:val="both"/>
              <w:rPr>
                <w:rFonts w:ascii="Arial Narrow" w:hAnsi="Arial Narrow"/>
                <w:color w:val="000000" w:themeColor="text1"/>
              </w:rPr>
            </w:pPr>
          </w:p>
          <w:p w14:paraId="5713C924" w14:textId="3ED5A9D5" w:rsidR="00D411E8" w:rsidRPr="00343D9C" w:rsidRDefault="00D411E8" w:rsidP="00D411E8">
            <w:pPr>
              <w:pStyle w:val="TableParagraph"/>
              <w:tabs>
                <w:tab w:val="left" w:pos="584"/>
              </w:tabs>
              <w:ind w:left="440" w:right="458"/>
              <w:jc w:val="both"/>
              <w:rPr>
                <w:rFonts w:ascii="Arial Narrow" w:hAnsi="Arial Narrow"/>
                <w:color w:val="000000" w:themeColor="text1"/>
              </w:rPr>
            </w:pPr>
            <w:r>
              <w:rPr>
                <w:rFonts w:ascii="Arial Narrow" w:hAnsi="Arial Narrow"/>
                <w:color w:val="000000" w:themeColor="text1"/>
              </w:rPr>
              <w:t xml:space="preserve">Así las cosas, la ADRES no incurrió en el fenómeno jurídico de la caducidad, ya que radicó la demanda el </w:t>
            </w:r>
            <w:r w:rsidR="005F64D9">
              <w:rPr>
                <w:rFonts w:ascii="Arial Narrow" w:hAnsi="Arial Narrow"/>
                <w:color w:val="000000" w:themeColor="text1"/>
              </w:rPr>
              <w:t>12</w:t>
            </w:r>
            <w:r>
              <w:rPr>
                <w:rFonts w:ascii="Arial Narrow" w:hAnsi="Arial Narrow"/>
                <w:color w:val="000000" w:themeColor="text1"/>
              </w:rPr>
              <w:t xml:space="preserve"> de </w:t>
            </w:r>
            <w:r w:rsidR="005F64D9">
              <w:rPr>
                <w:rFonts w:ascii="Arial Narrow" w:hAnsi="Arial Narrow"/>
                <w:color w:val="000000" w:themeColor="text1"/>
              </w:rPr>
              <w:t xml:space="preserve">mayo </w:t>
            </w:r>
            <w:r>
              <w:rPr>
                <w:rFonts w:ascii="Arial Narrow" w:hAnsi="Arial Narrow"/>
                <w:color w:val="000000" w:themeColor="text1"/>
              </w:rPr>
              <w:t>de 2023.</w:t>
            </w:r>
          </w:p>
          <w:p w14:paraId="61446043" w14:textId="77777777" w:rsidR="003B7EDD" w:rsidRDefault="003B7EDD" w:rsidP="001C4487">
            <w:pPr>
              <w:pStyle w:val="TableParagraph"/>
              <w:tabs>
                <w:tab w:val="left" w:pos="584"/>
              </w:tabs>
              <w:ind w:right="458"/>
              <w:jc w:val="both"/>
              <w:rPr>
                <w:rFonts w:ascii="Arial Narrow" w:hAnsi="Arial Narrow"/>
                <w:b/>
                <w:color w:val="000000" w:themeColor="text1"/>
                <w:lang w:val="es-CO"/>
              </w:rPr>
            </w:pPr>
          </w:p>
          <w:p w14:paraId="3CBD3298" w14:textId="2E7A6BF6" w:rsidR="00BA793A" w:rsidRDefault="00D30A36" w:rsidP="00830FDE">
            <w:pPr>
              <w:pStyle w:val="TableParagraph"/>
              <w:numPr>
                <w:ilvl w:val="0"/>
                <w:numId w:val="2"/>
              </w:numPr>
              <w:tabs>
                <w:tab w:val="left" w:pos="584"/>
              </w:tabs>
              <w:ind w:left="836" w:right="458"/>
              <w:jc w:val="both"/>
              <w:rPr>
                <w:rFonts w:ascii="Arial Narrow" w:hAnsi="Arial Narrow"/>
                <w:b/>
                <w:color w:val="000000" w:themeColor="text1"/>
                <w:lang w:val="es-CO"/>
              </w:rPr>
            </w:pPr>
            <w:r w:rsidRPr="007F2B6C">
              <w:rPr>
                <w:rFonts w:ascii="Arial Narrow" w:hAnsi="Arial Narrow"/>
                <w:b/>
                <w:color w:val="000000" w:themeColor="text1"/>
                <w:lang w:val="es-CO"/>
              </w:rPr>
              <w:t>Jurisprudencia</w:t>
            </w:r>
          </w:p>
          <w:p w14:paraId="0D15B2D9" w14:textId="77777777" w:rsidR="00830FDE" w:rsidRDefault="00830FDE" w:rsidP="00830FDE">
            <w:pPr>
              <w:pStyle w:val="TableParagraph"/>
              <w:tabs>
                <w:tab w:val="left" w:pos="584"/>
              </w:tabs>
              <w:ind w:left="836" w:right="458"/>
              <w:jc w:val="both"/>
              <w:rPr>
                <w:rFonts w:ascii="Arial Narrow" w:hAnsi="Arial Narrow"/>
                <w:b/>
                <w:color w:val="000000" w:themeColor="text1"/>
                <w:lang w:val="es-CO"/>
              </w:rPr>
            </w:pPr>
          </w:p>
          <w:p w14:paraId="4BE3A45E" w14:textId="1027ACA4" w:rsidR="00830FDE" w:rsidRPr="00B6382A" w:rsidRDefault="00830FDE" w:rsidP="00830FDE">
            <w:pPr>
              <w:pStyle w:val="TableParagraph"/>
              <w:tabs>
                <w:tab w:val="left" w:pos="584"/>
              </w:tabs>
              <w:ind w:left="836" w:right="458"/>
              <w:jc w:val="both"/>
              <w:rPr>
                <w:rFonts w:ascii="Arial Narrow" w:hAnsi="Arial Narrow"/>
                <w:bCs/>
                <w:color w:val="000000" w:themeColor="text1"/>
                <w:lang w:val="es-CO"/>
              </w:rPr>
            </w:pPr>
            <w:r w:rsidRPr="00B6382A">
              <w:rPr>
                <w:rFonts w:ascii="Arial Narrow" w:hAnsi="Arial Narrow"/>
                <w:bCs/>
                <w:color w:val="000000" w:themeColor="text1"/>
                <w:lang w:val="es-CO"/>
              </w:rPr>
              <w:t>No Aplica.</w:t>
            </w:r>
          </w:p>
          <w:p w14:paraId="4B8DF58B" w14:textId="77777777" w:rsidR="00830FDE" w:rsidRPr="00830FDE" w:rsidRDefault="00830FDE" w:rsidP="00830FDE">
            <w:pPr>
              <w:pStyle w:val="TableParagraph"/>
              <w:tabs>
                <w:tab w:val="left" w:pos="584"/>
              </w:tabs>
              <w:ind w:left="836" w:right="458"/>
              <w:jc w:val="both"/>
              <w:rPr>
                <w:rFonts w:ascii="Arial Narrow" w:hAnsi="Arial Narrow"/>
                <w:b/>
                <w:color w:val="000000" w:themeColor="text1"/>
                <w:lang w:val="es-CO"/>
              </w:rPr>
            </w:pPr>
          </w:p>
          <w:p w14:paraId="6AD49DFD" w14:textId="4B58DDA4" w:rsidR="00DC2128" w:rsidRDefault="00C11973" w:rsidP="00830FDE">
            <w:pPr>
              <w:pStyle w:val="TableParagraph"/>
              <w:numPr>
                <w:ilvl w:val="0"/>
                <w:numId w:val="2"/>
              </w:numPr>
              <w:tabs>
                <w:tab w:val="left" w:pos="584"/>
              </w:tabs>
              <w:ind w:left="836" w:right="458"/>
              <w:jc w:val="both"/>
              <w:rPr>
                <w:rFonts w:ascii="Arial Narrow" w:hAnsi="Arial Narrow"/>
                <w:b/>
                <w:color w:val="000000" w:themeColor="text1"/>
                <w:lang w:val="es-CO"/>
              </w:rPr>
            </w:pPr>
            <w:r>
              <w:rPr>
                <w:rFonts w:ascii="Arial Narrow" w:hAnsi="Arial Narrow"/>
                <w:b/>
                <w:color w:val="000000" w:themeColor="text1"/>
                <w:lang w:val="es-CO"/>
              </w:rPr>
              <w:t xml:space="preserve"> </w:t>
            </w:r>
            <w:r w:rsidR="00BA793A" w:rsidRPr="00481D72">
              <w:rPr>
                <w:rFonts w:ascii="Arial Narrow" w:hAnsi="Arial Narrow"/>
                <w:b/>
                <w:color w:val="000000" w:themeColor="text1"/>
                <w:lang w:val="es-CO"/>
              </w:rPr>
              <w:t>Fallos judiciales por temas similares</w:t>
            </w:r>
          </w:p>
          <w:p w14:paraId="79120A47" w14:textId="77777777" w:rsidR="00830FDE" w:rsidRDefault="00830FDE" w:rsidP="00830FDE">
            <w:pPr>
              <w:pStyle w:val="TableParagraph"/>
              <w:tabs>
                <w:tab w:val="left" w:pos="584"/>
              </w:tabs>
              <w:ind w:left="836" w:right="458"/>
              <w:jc w:val="both"/>
              <w:rPr>
                <w:rFonts w:ascii="Arial Narrow" w:hAnsi="Arial Narrow"/>
                <w:b/>
                <w:color w:val="000000" w:themeColor="text1"/>
                <w:lang w:val="es-CO"/>
              </w:rPr>
            </w:pPr>
          </w:p>
          <w:p w14:paraId="002F9551" w14:textId="34E6FE72" w:rsidR="00830FDE" w:rsidRPr="00B6382A" w:rsidRDefault="00830FDE" w:rsidP="00830FDE">
            <w:pPr>
              <w:pStyle w:val="TableParagraph"/>
              <w:tabs>
                <w:tab w:val="left" w:pos="584"/>
              </w:tabs>
              <w:ind w:left="836" w:right="458"/>
              <w:jc w:val="both"/>
              <w:rPr>
                <w:rFonts w:ascii="Arial Narrow" w:hAnsi="Arial Narrow"/>
                <w:bCs/>
                <w:color w:val="000000" w:themeColor="text1"/>
                <w:lang w:val="es-CO"/>
              </w:rPr>
            </w:pPr>
            <w:r w:rsidRPr="00B6382A">
              <w:rPr>
                <w:rFonts w:ascii="Arial Narrow" w:hAnsi="Arial Narrow"/>
                <w:bCs/>
                <w:color w:val="000000" w:themeColor="text1"/>
                <w:lang w:val="es-CO"/>
              </w:rPr>
              <w:t>No aplica</w:t>
            </w:r>
          </w:p>
          <w:p w14:paraId="2360F43F" w14:textId="77777777" w:rsidR="0096478A" w:rsidRPr="007F2B6C" w:rsidRDefault="0096478A" w:rsidP="0096478A">
            <w:pPr>
              <w:ind w:right="458"/>
              <w:jc w:val="both"/>
              <w:rPr>
                <w:rFonts w:ascii="Arial Narrow" w:hAnsi="Arial Narrow"/>
                <w:color w:val="000000" w:themeColor="text1"/>
                <w:lang w:val="es-CO"/>
              </w:rPr>
            </w:pPr>
          </w:p>
          <w:p w14:paraId="29B2B74F" w14:textId="1B2C085C" w:rsidR="0017041B" w:rsidRPr="007F2B6C" w:rsidRDefault="00DC2128" w:rsidP="00CF25F1">
            <w:pPr>
              <w:pStyle w:val="TableParagraph"/>
              <w:numPr>
                <w:ilvl w:val="0"/>
                <w:numId w:val="2"/>
              </w:numPr>
              <w:tabs>
                <w:tab w:val="left" w:pos="584"/>
              </w:tabs>
              <w:ind w:left="836" w:right="458"/>
              <w:jc w:val="both"/>
              <w:rPr>
                <w:rFonts w:ascii="Arial Narrow" w:hAnsi="Arial Narrow"/>
                <w:b/>
                <w:color w:val="000000" w:themeColor="text1"/>
                <w:lang w:val="es-CO"/>
              </w:rPr>
            </w:pPr>
            <w:r>
              <w:rPr>
                <w:rFonts w:ascii="Arial Narrow" w:hAnsi="Arial Narrow"/>
                <w:b/>
                <w:color w:val="000000" w:themeColor="text1"/>
                <w:lang w:val="es-CO"/>
              </w:rPr>
              <w:t xml:space="preserve"> </w:t>
            </w:r>
            <w:r w:rsidR="0017041B" w:rsidRPr="007F2B6C">
              <w:rPr>
                <w:rFonts w:ascii="Arial Narrow" w:hAnsi="Arial Narrow"/>
                <w:b/>
                <w:color w:val="000000" w:themeColor="text1"/>
                <w:lang w:val="es-CO"/>
              </w:rPr>
              <w:t>Principales movimientos</w:t>
            </w:r>
            <w:r w:rsidR="0028559F">
              <w:rPr>
                <w:rFonts w:ascii="Arial Narrow" w:hAnsi="Arial Narrow"/>
                <w:b/>
                <w:color w:val="000000" w:themeColor="text1"/>
                <w:lang w:val="es-CO"/>
              </w:rPr>
              <w:t xml:space="preserve"> procesales</w:t>
            </w:r>
          </w:p>
          <w:p w14:paraId="2EDC93ED" w14:textId="5F23B5BA" w:rsidR="0017041B" w:rsidRPr="007F2B6C" w:rsidRDefault="0017041B" w:rsidP="00294E41">
            <w:pPr>
              <w:pStyle w:val="TableParagraph"/>
              <w:tabs>
                <w:tab w:val="left" w:pos="584"/>
              </w:tabs>
              <w:ind w:left="567" w:right="567"/>
              <w:jc w:val="both"/>
              <w:rPr>
                <w:rFonts w:ascii="Arial Narrow" w:hAnsi="Arial Narrow"/>
                <w:b/>
                <w:color w:val="000000" w:themeColor="text1"/>
                <w:lang w:val="es-CO"/>
              </w:rPr>
            </w:pPr>
          </w:p>
          <w:p w14:paraId="38466C37" w14:textId="16369D1D" w:rsidR="0017041B" w:rsidRDefault="0017041B" w:rsidP="00F07DE8">
            <w:pPr>
              <w:pStyle w:val="Prrafodelista"/>
              <w:numPr>
                <w:ilvl w:val="0"/>
                <w:numId w:val="5"/>
              </w:numPr>
              <w:ind w:left="759" w:right="567" w:hanging="283"/>
              <w:jc w:val="both"/>
              <w:rPr>
                <w:rFonts w:ascii="Arial Narrow" w:hAnsi="Arial Narrow"/>
                <w:color w:val="000000" w:themeColor="text1"/>
              </w:rPr>
            </w:pPr>
            <w:r w:rsidRPr="007F2B6C">
              <w:rPr>
                <w:rFonts w:ascii="Arial Narrow" w:hAnsi="Arial Narrow"/>
                <w:b/>
                <w:color w:val="000000" w:themeColor="text1"/>
              </w:rPr>
              <w:t>Presentación de demanda</w:t>
            </w:r>
            <w:r w:rsidRPr="007F2B6C">
              <w:rPr>
                <w:rFonts w:ascii="Arial Narrow" w:hAnsi="Arial Narrow"/>
                <w:color w:val="000000" w:themeColor="text1"/>
              </w:rPr>
              <w:t>:</w:t>
            </w:r>
            <w:r w:rsidR="00080742">
              <w:rPr>
                <w:rFonts w:ascii="Arial Narrow" w:hAnsi="Arial Narrow"/>
                <w:color w:val="000000" w:themeColor="text1"/>
              </w:rPr>
              <w:t xml:space="preserve"> </w:t>
            </w:r>
            <w:r w:rsidR="005F64D9">
              <w:rPr>
                <w:rFonts w:ascii="Arial Narrow" w:hAnsi="Arial Narrow"/>
                <w:color w:val="000000" w:themeColor="text1"/>
              </w:rPr>
              <w:t xml:space="preserve">12 </w:t>
            </w:r>
            <w:r w:rsidR="007B2553">
              <w:rPr>
                <w:rFonts w:ascii="Arial Narrow" w:hAnsi="Arial Narrow"/>
                <w:color w:val="000000" w:themeColor="text1"/>
              </w:rPr>
              <w:t xml:space="preserve">de </w:t>
            </w:r>
            <w:r w:rsidR="005F64D9">
              <w:rPr>
                <w:rFonts w:ascii="Arial Narrow" w:hAnsi="Arial Narrow"/>
                <w:color w:val="000000" w:themeColor="text1"/>
              </w:rPr>
              <w:t xml:space="preserve">mayo </w:t>
            </w:r>
            <w:r w:rsidR="007B2553">
              <w:rPr>
                <w:rFonts w:ascii="Arial Narrow" w:hAnsi="Arial Narrow"/>
                <w:color w:val="000000" w:themeColor="text1"/>
              </w:rPr>
              <w:t>de 2023</w:t>
            </w:r>
          </w:p>
          <w:p w14:paraId="160BFCE0" w14:textId="4BACA776" w:rsidR="00DC2128" w:rsidRDefault="00DC2128" w:rsidP="00F07DE8">
            <w:pPr>
              <w:pStyle w:val="Prrafodelista"/>
              <w:numPr>
                <w:ilvl w:val="0"/>
                <w:numId w:val="5"/>
              </w:numPr>
              <w:ind w:left="759" w:right="567" w:hanging="283"/>
              <w:jc w:val="both"/>
              <w:rPr>
                <w:rFonts w:ascii="Arial Narrow" w:hAnsi="Arial Narrow"/>
                <w:color w:val="000000" w:themeColor="text1"/>
              </w:rPr>
            </w:pPr>
            <w:r>
              <w:rPr>
                <w:rFonts w:ascii="Arial Narrow" w:hAnsi="Arial Narrow"/>
                <w:b/>
                <w:color w:val="000000" w:themeColor="text1"/>
              </w:rPr>
              <w:t>Auto inadmite demanda</w:t>
            </w:r>
            <w:r w:rsidRPr="00DC2128">
              <w:rPr>
                <w:rFonts w:ascii="Arial Narrow" w:hAnsi="Arial Narrow"/>
                <w:color w:val="000000" w:themeColor="text1"/>
              </w:rPr>
              <w:t>:</w:t>
            </w:r>
            <w:r w:rsidR="00080742">
              <w:rPr>
                <w:rFonts w:ascii="Arial Narrow" w:hAnsi="Arial Narrow"/>
                <w:color w:val="000000" w:themeColor="text1"/>
              </w:rPr>
              <w:t xml:space="preserve"> </w:t>
            </w:r>
            <w:r w:rsidR="005F64D9">
              <w:rPr>
                <w:rFonts w:ascii="Arial Narrow" w:hAnsi="Arial Narrow"/>
                <w:color w:val="000000" w:themeColor="text1"/>
              </w:rPr>
              <w:t>21 de septiembre de 2023</w:t>
            </w:r>
          </w:p>
          <w:p w14:paraId="549DA013" w14:textId="4C6FDC26" w:rsidR="00FD6B5F" w:rsidRPr="007F2B6C" w:rsidRDefault="00FD6B5F" w:rsidP="00F07DE8">
            <w:pPr>
              <w:pStyle w:val="Prrafodelista"/>
              <w:numPr>
                <w:ilvl w:val="0"/>
                <w:numId w:val="5"/>
              </w:numPr>
              <w:ind w:left="759" w:right="567" w:hanging="283"/>
              <w:jc w:val="both"/>
              <w:rPr>
                <w:rFonts w:ascii="Arial Narrow" w:hAnsi="Arial Narrow"/>
                <w:color w:val="000000" w:themeColor="text1"/>
              </w:rPr>
            </w:pPr>
            <w:r>
              <w:rPr>
                <w:rFonts w:ascii="Arial Narrow" w:hAnsi="Arial Narrow"/>
                <w:b/>
                <w:color w:val="000000" w:themeColor="text1"/>
              </w:rPr>
              <w:t>Subsanación de demanda</w:t>
            </w:r>
            <w:r w:rsidRPr="00FD6B5F">
              <w:rPr>
                <w:rFonts w:ascii="Arial Narrow" w:hAnsi="Arial Narrow"/>
                <w:color w:val="000000" w:themeColor="text1"/>
              </w:rPr>
              <w:t>:</w:t>
            </w:r>
            <w:r>
              <w:rPr>
                <w:rFonts w:ascii="Arial Narrow" w:hAnsi="Arial Narrow"/>
                <w:color w:val="000000" w:themeColor="text1"/>
              </w:rPr>
              <w:t xml:space="preserve"> </w:t>
            </w:r>
            <w:r w:rsidR="00080742">
              <w:rPr>
                <w:rFonts w:ascii="Arial Narrow" w:hAnsi="Arial Narrow"/>
                <w:color w:val="000000" w:themeColor="text1"/>
              </w:rPr>
              <w:t>11 de octubre</w:t>
            </w:r>
            <w:r>
              <w:rPr>
                <w:rFonts w:ascii="Arial Narrow" w:hAnsi="Arial Narrow"/>
                <w:color w:val="000000" w:themeColor="text1"/>
              </w:rPr>
              <w:t xml:space="preserve"> de 2023.</w:t>
            </w:r>
          </w:p>
          <w:p w14:paraId="01D48A0B" w14:textId="3AC0FA0B" w:rsidR="0007261C" w:rsidRPr="005056A8" w:rsidRDefault="00E00140" w:rsidP="0007261C">
            <w:pPr>
              <w:pStyle w:val="Prrafodelista"/>
              <w:numPr>
                <w:ilvl w:val="0"/>
                <w:numId w:val="5"/>
              </w:numPr>
              <w:ind w:left="759" w:right="567" w:hanging="283"/>
              <w:jc w:val="both"/>
              <w:rPr>
                <w:rFonts w:ascii="Arial Narrow" w:hAnsi="Arial Narrow"/>
                <w:color w:val="FF0000"/>
              </w:rPr>
            </w:pPr>
            <w:r>
              <w:rPr>
                <w:rFonts w:ascii="Arial Narrow" w:hAnsi="Arial Narrow"/>
                <w:b/>
                <w:color w:val="000000" w:themeColor="text1"/>
              </w:rPr>
              <w:t xml:space="preserve">Auto </w:t>
            </w:r>
            <w:r w:rsidR="00DC2128">
              <w:rPr>
                <w:rFonts w:ascii="Arial Narrow" w:hAnsi="Arial Narrow"/>
                <w:b/>
                <w:color w:val="000000" w:themeColor="text1"/>
              </w:rPr>
              <w:t>admite</w:t>
            </w:r>
            <w:r>
              <w:rPr>
                <w:rFonts w:ascii="Arial Narrow" w:hAnsi="Arial Narrow"/>
                <w:b/>
                <w:color w:val="000000" w:themeColor="text1"/>
              </w:rPr>
              <w:t xml:space="preserve"> </w:t>
            </w:r>
            <w:r w:rsidR="00DC2128">
              <w:rPr>
                <w:rFonts w:ascii="Arial Narrow" w:hAnsi="Arial Narrow"/>
                <w:b/>
                <w:color w:val="000000" w:themeColor="text1"/>
              </w:rPr>
              <w:t>d</w:t>
            </w:r>
            <w:r>
              <w:rPr>
                <w:rFonts w:ascii="Arial Narrow" w:hAnsi="Arial Narrow"/>
                <w:b/>
                <w:color w:val="000000" w:themeColor="text1"/>
              </w:rPr>
              <w:t>emanda</w:t>
            </w:r>
            <w:r w:rsidRPr="00F240F5">
              <w:rPr>
                <w:rFonts w:ascii="Arial Narrow" w:hAnsi="Arial Narrow"/>
                <w:b/>
              </w:rPr>
              <w:t>:</w:t>
            </w:r>
            <w:r w:rsidRPr="00F240F5">
              <w:rPr>
                <w:rFonts w:ascii="Arial Narrow" w:hAnsi="Arial Narrow"/>
              </w:rPr>
              <w:t xml:space="preserve"> </w:t>
            </w:r>
            <w:r w:rsidR="005F64D9" w:rsidRPr="005F64D9">
              <w:rPr>
                <w:rFonts w:ascii="Arial Narrow" w:hAnsi="Arial Narrow"/>
              </w:rPr>
              <w:t>10 de septiembre de 2024</w:t>
            </w:r>
          </w:p>
          <w:p w14:paraId="7C1BFBAF" w14:textId="1CB197CB" w:rsidR="005056A8" w:rsidRPr="0007261C" w:rsidRDefault="005056A8" w:rsidP="0007261C">
            <w:pPr>
              <w:pStyle w:val="Prrafodelista"/>
              <w:numPr>
                <w:ilvl w:val="0"/>
                <w:numId w:val="5"/>
              </w:numPr>
              <w:ind w:left="759" w:right="567" w:hanging="283"/>
              <w:jc w:val="both"/>
              <w:rPr>
                <w:rFonts w:ascii="Arial Narrow" w:hAnsi="Arial Narrow"/>
                <w:color w:val="FF0000"/>
              </w:rPr>
            </w:pPr>
            <w:r>
              <w:rPr>
                <w:rFonts w:ascii="Arial Narrow" w:hAnsi="Arial Narrow"/>
                <w:b/>
                <w:color w:val="000000" w:themeColor="text1"/>
              </w:rPr>
              <w:t>Recurso de reposición propuesto por Coomeva EPS Liquidada:</w:t>
            </w:r>
            <w:r w:rsidR="00DA3EE2">
              <w:rPr>
                <w:rFonts w:ascii="Arial Narrow" w:hAnsi="Arial Narrow"/>
                <w:color w:val="FF0000"/>
              </w:rPr>
              <w:t xml:space="preserve"> </w:t>
            </w:r>
            <w:r w:rsidR="00DA3EE2" w:rsidRPr="00DA3EE2">
              <w:rPr>
                <w:rFonts w:ascii="Arial Narrow" w:hAnsi="Arial Narrow"/>
              </w:rPr>
              <w:t>23 de septiembre de 2024</w:t>
            </w:r>
          </w:p>
          <w:p w14:paraId="7E6188AF" w14:textId="528A753B" w:rsidR="0007261C" w:rsidRPr="0007261C" w:rsidRDefault="0007261C" w:rsidP="00F07DE8">
            <w:pPr>
              <w:pStyle w:val="Prrafodelista"/>
              <w:numPr>
                <w:ilvl w:val="0"/>
                <w:numId w:val="5"/>
              </w:numPr>
              <w:ind w:left="759" w:right="567" w:hanging="283"/>
              <w:jc w:val="both"/>
              <w:rPr>
                <w:rFonts w:ascii="Arial Narrow" w:hAnsi="Arial Narrow"/>
                <w:color w:val="FF0000"/>
              </w:rPr>
            </w:pPr>
            <w:r>
              <w:rPr>
                <w:rFonts w:ascii="Arial Narrow" w:hAnsi="Arial Narrow"/>
                <w:b/>
                <w:color w:val="000000" w:themeColor="text1"/>
              </w:rPr>
              <w:t>Contestación de demanda</w:t>
            </w:r>
            <w:r w:rsidR="005056A8">
              <w:rPr>
                <w:rFonts w:ascii="Arial Narrow" w:hAnsi="Arial Narrow"/>
                <w:b/>
                <w:color w:val="000000" w:themeColor="text1"/>
              </w:rPr>
              <w:t xml:space="preserve"> superintendencia nacional de salud</w:t>
            </w:r>
            <w:r>
              <w:rPr>
                <w:rFonts w:ascii="Arial Narrow" w:hAnsi="Arial Narrow"/>
                <w:b/>
                <w:color w:val="000000" w:themeColor="text1"/>
              </w:rPr>
              <w:t>:</w:t>
            </w:r>
            <w:r>
              <w:rPr>
                <w:rFonts w:ascii="Arial Narrow" w:hAnsi="Arial Narrow"/>
                <w:color w:val="FF0000"/>
              </w:rPr>
              <w:t xml:space="preserve"> </w:t>
            </w:r>
            <w:r w:rsidR="005056A8">
              <w:rPr>
                <w:rFonts w:ascii="Arial Narrow" w:hAnsi="Arial Narrow"/>
              </w:rPr>
              <w:t xml:space="preserve">31 </w:t>
            </w:r>
            <w:r w:rsidRPr="0007261C">
              <w:rPr>
                <w:rFonts w:ascii="Arial Narrow" w:hAnsi="Arial Narrow"/>
              </w:rPr>
              <w:t xml:space="preserve">de </w:t>
            </w:r>
            <w:r w:rsidR="005056A8">
              <w:rPr>
                <w:rFonts w:ascii="Arial Narrow" w:hAnsi="Arial Narrow"/>
              </w:rPr>
              <w:t>octubre de</w:t>
            </w:r>
            <w:r w:rsidRPr="0007261C">
              <w:rPr>
                <w:rFonts w:ascii="Arial Narrow" w:hAnsi="Arial Narrow"/>
              </w:rPr>
              <w:t xml:space="preserve"> 2024</w:t>
            </w:r>
          </w:p>
          <w:p w14:paraId="3863F906" w14:textId="7ADB355D" w:rsidR="00427E34" w:rsidRDefault="0043733A" w:rsidP="00F07DE8">
            <w:pPr>
              <w:pStyle w:val="Prrafodelista"/>
              <w:numPr>
                <w:ilvl w:val="0"/>
                <w:numId w:val="5"/>
              </w:numPr>
              <w:ind w:left="759" w:right="567" w:hanging="283"/>
              <w:jc w:val="both"/>
              <w:rPr>
                <w:rFonts w:ascii="Arial Narrow" w:hAnsi="Arial Narrow"/>
              </w:rPr>
            </w:pPr>
            <w:r>
              <w:rPr>
                <w:rFonts w:ascii="Arial Narrow" w:hAnsi="Arial Narrow"/>
                <w:b/>
                <w:bCs/>
              </w:rPr>
              <w:t xml:space="preserve">Auto resuelve </w:t>
            </w:r>
            <w:r>
              <w:rPr>
                <w:rFonts w:ascii="Arial Narrow" w:hAnsi="Arial Narrow"/>
                <w:b/>
                <w:color w:val="000000" w:themeColor="text1"/>
              </w:rPr>
              <w:t>r</w:t>
            </w:r>
            <w:r w:rsidR="00427E34">
              <w:rPr>
                <w:rFonts w:ascii="Arial Narrow" w:hAnsi="Arial Narrow"/>
                <w:b/>
                <w:color w:val="000000" w:themeColor="text1"/>
              </w:rPr>
              <w:t xml:space="preserve">ecurso de </w:t>
            </w:r>
            <w:r>
              <w:rPr>
                <w:rFonts w:ascii="Arial Narrow" w:hAnsi="Arial Narrow"/>
                <w:b/>
                <w:color w:val="000000" w:themeColor="text1"/>
              </w:rPr>
              <w:t xml:space="preserve">reposición: </w:t>
            </w:r>
            <w:r>
              <w:rPr>
                <w:rFonts w:ascii="Arial Narrow" w:hAnsi="Arial Narrow"/>
              </w:rPr>
              <w:t>11 de febrero de 2025</w:t>
            </w:r>
            <w:r w:rsidR="00E07071">
              <w:rPr>
                <w:rFonts w:ascii="Arial Narrow" w:hAnsi="Arial Narrow"/>
              </w:rPr>
              <w:t xml:space="preserve"> vinculando a </w:t>
            </w:r>
            <w:proofErr w:type="spellStart"/>
            <w:r w:rsidR="00E07071" w:rsidRPr="00E07071">
              <w:rPr>
                <w:rFonts w:ascii="Arial Narrow" w:hAnsi="Arial Narrow"/>
              </w:rPr>
              <w:t>Racil</w:t>
            </w:r>
            <w:proofErr w:type="spellEnd"/>
            <w:r w:rsidR="00E07071" w:rsidRPr="00E07071">
              <w:rPr>
                <w:rFonts w:ascii="Arial Narrow" w:hAnsi="Arial Narrow"/>
              </w:rPr>
              <w:t xml:space="preserve"> Asesorías S.A.S.,</w:t>
            </w:r>
            <w:r w:rsidR="00E07071">
              <w:rPr>
                <w:rFonts w:ascii="Arial Narrow" w:hAnsi="Arial Narrow"/>
              </w:rPr>
              <w:t xml:space="preserve"> como parte demandada en el proceso.</w:t>
            </w:r>
          </w:p>
          <w:p w14:paraId="087309B8" w14:textId="77777777" w:rsidR="0017041B" w:rsidRPr="007F2B6C" w:rsidRDefault="0017041B" w:rsidP="00830FDE">
            <w:pPr>
              <w:pStyle w:val="TableParagraph"/>
              <w:tabs>
                <w:tab w:val="left" w:pos="584"/>
              </w:tabs>
              <w:ind w:right="567"/>
              <w:jc w:val="both"/>
              <w:rPr>
                <w:rFonts w:ascii="Arial Narrow" w:hAnsi="Arial Narrow"/>
                <w:b/>
                <w:color w:val="000000" w:themeColor="text1"/>
                <w:lang w:val="es-CO"/>
              </w:rPr>
            </w:pPr>
          </w:p>
          <w:p w14:paraId="2F02E511" w14:textId="74A99B2B" w:rsidR="00885642" w:rsidRPr="0096621E" w:rsidRDefault="001942C6" w:rsidP="00CF25F1">
            <w:pPr>
              <w:pStyle w:val="TableParagraph"/>
              <w:numPr>
                <w:ilvl w:val="0"/>
                <w:numId w:val="2"/>
              </w:numPr>
              <w:tabs>
                <w:tab w:val="left" w:pos="584"/>
              </w:tabs>
              <w:ind w:left="836" w:right="458"/>
              <w:jc w:val="both"/>
              <w:rPr>
                <w:rFonts w:ascii="Arial Narrow" w:hAnsi="Arial Narrow"/>
                <w:bCs/>
                <w:color w:val="000000" w:themeColor="text1"/>
                <w:lang w:val="es-CO"/>
              </w:rPr>
            </w:pPr>
            <w:r w:rsidRPr="007F2B6C">
              <w:rPr>
                <w:rFonts w:ascii="Arial Narrow" w:hAnsi="Arial Narrow"/>
                <w:b/>
                <w:color w:val="000000" w:themeColor="text1"/>
                <w:lang w:val="es-CO"/>
              </w:rPr>
              <w:t xml:space="preserve">Aplica política, llamamientos, protocolos o instructivos institucionales o nacionales: </w:t>
            </w:r>
            <w:r w:rsidRPr="0096621E">
              <w:rPr>
                <w:rFonts w:ascii="Arial Narrow" w:hAnsi="Arial Narrow"/>
                <w:bCs/>
                <w:color w:val="000000" w:themeColor="text1"/>
                <w:lang w:val="es-CO"/>
              </w:rPr>
              <w:t>No</w:t>
            </w:r>
          </w:p>
          <w:p w14:paraId="1D296845" w14:textId="77777777" w:rsidR="00885642" w:rsidRPr="00481D72" w:rsidRDefault="00885642" w:rsidP="00F07DE8">
            <w:pPr>
              <w:pStyle w:val="TableParagraph"/>
              <w:tabs>
                <w:tab w:val="left" w:pos="584"/>
              </w:tabs>
              <w:ind w:left="476" w:right="458"/>
              <w:jc w:val="both"/>
              <w:rPr>
                <w:rFonts w:ascii="Arial Narrow" w:hAnsi="Arial Narrow"/>
                <w:b/>
                <w:color w:val="000000" w:themeColor="text1"/>
                <w:lang w:val="es-CO"/>
              </w:rPr>
            </w:pPr>
          </w:p>
          <w:p w14:paraId="342E0C18" w14:textId="77777777" w:rsidR="005905DB" w:rsidRDefault="00885642" w:rsidP="005905DB">
            <w:pPr>
              <w:pStyle w:val="TableParagraph"/>
              <w:numPr>
                <w:ilvl w:val="0"/>
                <w:numId w:val="2"/>
              </w:numPr>
              <w:tabs>
                <w:tab w:val="left" w:pos="584"/>
              </w:tabs>
              <w:ind w:left="836" w:right="458"/>
              <w:jc w:val="both"/>
              <w:rPr>
                <w:rFonts w:ascii="Arial Narrow" w:hAnsi="Arial Narrow"/>
                <w:b/>
                <w:color w:val="000000" w:themeColor="text1"/>
                <w:lang w:val="es-CO"/>
              </w:rPr>
            </w:pPr>
            <w:r w:rsidRPr="007F2B6C">
              <w:rPr>
                <w:rFonts w:ascii="Arial Narrow" w:hAnsi="Arial Narrow"/>
                <w:b/>
                <w:color w:val="000000" w:themeColor="text1"/>
                <w:lang w:val="es-CO"/>
              </w:rPr>
              <w:t>Decisiones que tomo el comité en casos similares</w:t>
            </w:r>
          </w:p>
          <w:p w14:paraId="6592C9E9" w14:textId="77777777" w:rsidR="005905DB" w:rsidRDefault="005905DB" w:rsidP="005905DB">
            <w:pPr>
              <w:pStyle w:val="Prrafodelista"/>
              <w:rPr>
                <w:rFonts w:ascii="Arial Narrow" w:hAnsi="Arial Narrow"/>
                <w:color w:val="000000" w:themeColor="text1"/>
              </w:rPr>
            </w:pPr>
          </w:p>
          <w:p w14:paraId="219161FF" w14:textId="67FB7114" w:rsidR="000F03A7" w:rsidRPr="005905DB" w:rsidRDefault="00B6382A" w:rsidP="005905DB">
            <w:pPr>
              <w:pStyle w:val="TableParagraph"/>
              <w:tabs>
                <w:tab w:val="left" w:pos="584"/>
              </w:tabs>
              <w:ind w:left="836" w:right="458"/>
              <w:jc w:val="both"/>
              <w:rPr>
                <w:rFonts w:ascii="Arial Narrow" w:hAnsi="Arial Narrow"/>
                <w:b/>
                <w:color w:val="000000" w:themeColor="text1"/>
                <w:lang w:val="es-CO"/>
              </w:rPr>
            </w:pPr>
            <w:r w:rsidRPr="005905DB">
              <w:rPr>
                <w:rFonts w:ascii="Arial Narrow" w:hAnsi="Arial Narrow"/>
                <w:color w:val="000000" w:themeColor="text1"/>
              </w:rPr>
              <w:t>No aplica</w:t>
            </w:r>
            <w:r w:rsidR="000F03A7" w:rsidRPr="005905DB">
              <w:rPr>
                <w:rFonts w:ascii="Arial Narrow" w:hAnsi="Arial Narrow"/>
                <w:color w:val="000000" w:themeColor="text1"/>
              </w:rPr>
              <w:t>.</w:t>
            </w:r>
          </w:p>
          <w:p w14:paraId="206EACC9" w14:textId="77777777" w:rsidR="001942C6" w:rsidRPr="007F2B6C" w:rsidRDefault="001942C6" w:rsidP="00F07DE8">
            <w:pPr>
              <w:pStyle w:val="TableParagraph"/>
              <w:ind w:left="476" w:right="567"/>
              <w:jc w:val="both"/>
              <w:rPr>
                <w:rFonts w:ascii="Arial Narrow" w:eastAsia="Calibri" w:hAnsi="Arial Narrow"/>
                <w:bCs/>
                <w:color w:val="FF0000"/>
                <w:lang w:val="es-CO"/>
              </w:rPr>
            </w:pPr>
          </w:p>
          <w:p w14:paraId="571C9464" w14:textId="347D0F43" w:rsidR="001942C6" w:rsidRPr="00481D72" w:rsidRDefault="008E173B" w:rsidP="00CF25F1">
            <w:pPr>
              <w:pStyle w:val="TableParagraph"/>
              <w:numPr>
                <w:ilvl w:val="0"/>
                <w:numId w:val="2"/>
              </w:numPr>
              <w:tabs>
                <w:tab w:val="left" w:pos="584"/>
              </w:tabs>
              <w:ind w:left="836" w:right="458"/>
              <w:jc w:val="both"/>
              <w:rPr>
                <w:rFonts w:ascii="Arial Narrow" w:hAnsi="Arial Narrow"/>
                <w:b/>
                <w:color w:val="000000" w:themeColor="text1"/>
                <w:lang w:val="es-CO"/>
              </w:rPr>
            </w:pPr>
            <w:r w:rsidRPr="007F2B6C">
              <w:rPr>
                <w:rFonts w:ascii="Arial Narrow" w:hAnsi="Arial Narrow"/>
                <w:b/>
                <w:color w:val="000000" w:themeColor="text1"/>
                <w:lang w:val="es-CO"/>
              </w:rPr>
              <w:t xml:space="preserve"> </w:t>
            </w:r>
            <w:r w:rsidR="001942C6" w:rsidRPr="007F2B6C">
              <w:rPr>
                <w:rFonts w:ascii="Arial Narrow" w:hAnsi="Arial Narrow"/>
                <w:b/>
                <w:color w:val="000000" w:themeColor="text1"/>
                <w:lang w:val="es-CO"/>
              </w:rPr>
              <w:t>Evaluación del riesgo</w:t>
            </w:r>
          </w:p>
          <w:p w14:paraId="3CBF4CD7" w14:textId="77777777" w:rsidR="00CF35D9" w:rsidRPr="007F2B6C" w:rsidRDefault="00CF35D9" w:rsidP="00F07DE8">
            <w:pPr>
              <w:pStyle w:val="TableParagraph"/>
              <w:tabs>
                <w:tab w:val="left" w:pos="584"/>
              </w:tabs>
              <w:ind w:left="476" w:right="567"/>
              <w:jc w:val="both"/>
              <w:rPr>
                <w:rFonts w:ascii="Arial Narrow" w:eastAsia="Calibri" w:hAnsi="Arial Narrow"/>
                <w:b/>
                <w:bCs/>
                <w:color w:val="000000" w:themeColor="text1"/>
                <w:lang w:val="es-CO"/>
              </w:rPr>
            </w:pPr>
          </w:p>
          <w:p w14:paraId="7E75A268" w14:textId="1CE535A4" w:rsidR="001942C6" w:rsidRPr="007F2B6C" w:rsidRDefault="001942C6" w:rsidP="00155A6D">
            <w:pPr>
              <w:pStyle w:val="TableParagraph"/>
              <w:ind w:left="873" w:right="567"/>
              <w:jc w:val="both"/>
              <w:rPr>
                <w:rFonts w:ascii="Arial Narrow" w:eastAsia="Calibri" w:hAnsi="Arial Narrow"/>
                <w:bCs/>
                <w:color w:val="000000" w:themeColor="text1"/>
                <w:lang w:val="es-CO"/>
              </w:rPr>
            </w:pPr>
            <w:r w:rsidRPr="007F2B6C">
              <w:rPr>
                <w:rFonts w:ascii="Arial Narrow" w:eastAsia="Calibri" w:hAnsi="Arial Narrow"/>
                <w:bCs/>
                <w:color w:val="000000" w:themeColor="text1"/>
                <w:lang w:val="es-CO"/>
              </w:rPr>
              <w:t>Criterio 1:</w:t>
            </w:r>
            <w:r w:rsidR="00BB74E5" w:rsidRPr="007F2B6C">
              <w:rPr>
                <w:rFonts w:ascii="Arial Narrow" w:eastAsia="Calibri" w:hAnsi="Arial Narrow"/>
                <w:bCs/>
                <w:color w:val="000000" w:themeColor="text1"/>
                <w:lang w:val="es-CO"/>
              </w:rPr>
              <w:t xml:space="preserve"> BAJO</w:t>
            </w:r>
          </w:p>
          <w:p w14:paraId="01E46712" w14:textId="67DFBB33" w:rsidR="001942C6" w:rsidRPr="007F2B6C" w:rsidRDefault="001942C6" w:rsidP="00155A6D">
            <w:pPr>
              <w:pStyle w:val="TableParagraph"/>
              <w:ind w:left="873" w:right="567"/>
              <w:jc w:val="both"/>
              <w:rPr>
                <w:rFonts w:ascii="Arial Narrow" w:eastAsia="Calibri" w:hAnsi="Arial Narrow"/>
                <w:bCs/>
                <w:color w:val="000000" w:themeColor="text1"/>
                <w:lang w:val="es-CO"/>
              </w:rPr>
            </w:pPr>
            <w:r w:rsidRPr="007F2B6C">
              <w:rPr>
                <w:rFonts w:ascii="Arial Narrow" w:eastAsia="Calibri" w:hAnsi="Arial Narrow"/>
                <w:bCs/>
                <w:color w:val="000000" w:themeColor="text1"/>
                <w:lang w:val="es-CO"/>
              </w:rPr>
              <w:t>Criterio 2:</w:t>
            </w:r>
            <w:r w:rsidR="0033568E" w:rsidRPr="007F2B6C">
              <w:rPr>
                <w:rFonts w:ascii="Arial Narrow" w:eastAsia="Calibri" w:hAnsi="Arial Narrow"/>
                <w:bCs/>
                <w:color w:val="000000" w:themeColor="text1"/>
                <w:lang w:val="es-CO"/>
              </w:rPr>
              <w:t xml:space="preserve"> BAJO</w:t>
            </w:r>
          </w:p>
          <w:p w14:paraId="3252D79C" w14:textId="7AD01C10" w:rsidR="001942C6" w:rsidRPr="007F2B6C" w:rsidRDefault="001942C6" w:rsidP="00155A6D">
            <w:pPr>
              <w:pStyle w:val="TableParagraph"/>
              <w:ind w:left="873" w:right="567"/>
              <w:jc w:val="both"/>
              <w:rPr>
                <w:rFonts w:ascii="Arial Narrow" w:eastAsia="Calibri" w:hAnsi="Arial Narrow"/>
                <w:bCs/>
                <w:color w:val="000000" w:themeColor="text1"/>
                <w:lang w:val="es-CO"/>
              </w:rPr>
            </w:pPr>
            <w:r w:rsidRPr="007F2B6C">
              <w:rPr>
                <w:rFonts w:ascii="Arial Narrow" w:eastAsia="Calibri" w:hAnsi="Arial Narrow"/>
                <w:bCs/>
                <w:color w:val="000000" w:themeColor="text1"/>
                <w:lang w:val="es-CO"/>
              </w:rPr>
              <w:t>Criterio 3: BAJO</w:t>
            </w:r>
          </w:p>
          <w:p w14:paraId="6D05355A" w14:textId="12EC5C09" w:rsidR="00810C4E" w:rsidRPr="007F2B6C" w:rsidRDefault="001942C6" w:rsidP="00155A6D">
            <w:pPr>
              <w:pStyle w:val="TableParagraph"/>
              <w:ind w:left="873" w:right="567"/>
              <w:jc w:val="both"/>
              <w:rPr>
                <w:rFonts w:ascii="Arial Narrow" w:eastAsia="Calibri" w:hAnsi="Arial Narrow"/>
                <w:bCs/>
                <w:color w:val="000000" w:themeColor="text1"/>
                <w:lang w:val="es-CO"/>
              </w:rPr>
            </w:pPr>
            <w:r w:rsidRPr="007F2B6C">
              <w:rPr>
                <w:rFonts w:ascii="Arial Narrow" w:eastAsia="Calibri" w:hAnsi="Arial Narrow"/>
                <w:bCs/>
                <w:color w:val="000000" w:themeColor="text1"/>
                <w:lang w:val="es-CO"/>
              </w:rPr>
              <w:t xml:space="preserve">Criterio 4: </w:t>
            </w:r>
            <w:r w:rsidR="00BB74E5" w:rsidRPr="007F2B6C">
              <w:rPr>
                <w:rFonts w:ascii="Arial Narrow" w:eastAsia="Calibri" w:hAnsi="Arial Narrow"/>
                <w:bCs/>
                <w:color w:val="000000" w:themeColor="text1"/>
                <w:lang w:val="es-CO"/>
              </w:rPr>
              <w:t>BAJO</w:t>
            </w:r>
          </w:p>
          <w:p w14:paraId="0E80868E" w14:textId="1828055D" w:rsidR="0082713E" w:rsidRDefault="0082713E" w:rsidP="00F07DE8">
            <w:pPr>
              <w:pStyle w:val="TableParagraph"/>
              <w:ind w:left="476" w:right="567"/>
              <w:jc w:val="both"/>
              <w:rPr>
                <w:rFonts w:ascii="Arial Narrow" w:eastAsia="Calibri" w:hAnsi="Arial Narrow"/>
                <w:bCs/>
                <w:color w:val="FF0000"/>
                <w:lang w:val="es-CO"/>
              </w:rPr>
            </w:pPr>
          </w:p>
          <w:p w14:paraId="566740C9" w14:textId="77777777" w:rsidR="00DC1ACC" w:rsidRDefault="00DC1ACC" w:rsidP="00F07DE8">
            <w:pPr>
              <w:pStyle w:val="TableParagraph"/>
              <w:ind w:left="476" w:right="567"/>
              <w:jc w:val="both"/>
              <w:rPr>
                <w:rFonts w:ascii="Arial Narrow" w:eastAsia="Calibri" w:hAnsi="Arial Narrow"/>
                <w:bCs/>
                <w:color w:val="FF0000"/>
                <w:lang w:val="es-CO"/>
              </w:rPr>
            </w:pPr>
          </w:p>
          <w:p w14:paraId="2D441213" w14:textId="77777777" w:rsidR="00DC1ACC" w:rsidRDefault="00DC1ACC" w:rsidP="00F07DE8">
            <w:pPr>
              <w:pStyle w:val="TableParagraph"/>
              <w:ind w:left="476" w:right="567"/>
              <w:jc w:val="both"/>
              <w:rPr>
                <w:rFonts w:ascii="Arial Narrow" w:eastAsia="Calibri" w:hAnsi="Arial Narrow"/>
                <w:bCs/>
                <w:color w:val="FF0000"/>
                <w:lang w:val="es-CO"/>
              </w:rPr>
            </w:pPr>
          </w:p>
          <w:p w14:paraId="7E94D03A" w14:textId="77777777" w:rsidR="00DC1ACC" w:rsidRPr="007F2B6C" w:rsidRDefault="00DC1ACC" w:rsidP="00F07DE8">
            <w:pPr>
              <w:pStyle w:val="TableParagraph"/>
              <w:ind w:left="476" w:right="567"/>
              <w:jc w:val="both"/>
              <w:rPr>
                <w:rFonts w:ascii="Arial Narrow" w:eastAsia="Calibri" w:hAnsi="Arial Narrow"/>
                <w:bCs/>
                <w:color w:val="FF0000"/>
                <w:lang w:val="es-CO"/>
              </w:rPr>
            </w:pPr>
          </w:p>
          <w:p w14:paraId="603A396E" w14:textId="720EA7E6" w:rsidR="00100DE5" w:rsidRPr="00481D72" w:rsidRDefault="00100DE5" w:rsidP="00CF25F1">
            <w:pPr>
              <w:pStyle w:val="TableParagraph"/>
              <w:numPr>
                <w:ilvl w:val="0"/>
                <w:numId w:val="2"/>
              </w:numPr>
              <w:tabs>
                <w:tab w:val="left" w:pos="584"/>
              </w:tabs>
              <w:ind w:left="836" w:right="458"/>
              <w:jc w:val="both"/>
              <w:rPr>
                <w:rFonts w:ascii="Arial Narrow" w:hAnsi="Arial Narrow"/>
                <w:b/>
                <w:color w:val="000000" w:themeColor="text1"/>
                <w:lang w:val="es-CO"/>
              </w:rPr>
            </w:pPr>
            <w:r w:rsidRPr="007F2B6C">
              <w:rPr>
                <w:rFonts w:ascii="Arial Narrow" w:hAnsi="Arial Narrow"/>
                <w:b/>
                <w:color w:val="000000" w:themeColor="text1"/>
                <w:lang w:val="es-CO"/>
              </w:rPr>
              <w:lastRenderedPageBreak/>
              <w:t>Recomendaciones</w:t>
            </w:r>
          </w:p>
          <w:p w14:paraId="2968C3C9" w14:textId="77777777" w:rsidR="006D20F0" w:rsidRPr="001B76ED" w:rsidRDefault="006D20F0" w:rsidP="006D20F0">
            <w:pPr>
              <w:pStyle w:val="TableParagraph"/>
              <w:tabs>
                <w:tab w:val="left" w:pos="584"/>
              </w:tabs>
              <w:ind w:right="458"/>
              <w:jc w:val="both"/>
              <w:rPr>
                <w:rFonts w:ascii="Arial Narrow" w:hAnsi="Arial Narrow"/>
                <w:bCs/>
                <w:color w:val="000000" w:themeColor="text1"/>
                <w:lang w:val="es-CO"/>
              </w:rPr>
            </w:pPr>
          </w:p>
          <w:p w14:paraId="2E1DD7AE" w14:textId="33A26370" w:rsidR="00250DD8" w:rsidRDefault="006D20F0" w:rsidP="00250DD8">
            <w:pPr>
              <w:pStyle w:val="TableParagraph"/>
              <w:tabs>
                <w:tab w:val="left" w:pos="584"/>
              </w:tabs>
              <w:ind w:left="589" w:right="458"/>
              <w:jc w:val="both"/>
              <w:rPr>
                <w:rFonts w:ascii="Arial Narrow" w:hAnsi="Arial Narrow"/>
                <w:bCs/>
                <w:color w:val="000000" w:themeColor="text1"/>
                <w:lang w:val="es-CO"/>
              </w:rPr>
            </w:pPr>
            <w:r w:rsidRPr="001B76ED">
              <w:rPr>
                <w:rFonts w:ascii="Arial Narrow" w:hAnsi="Arial Narrow"/>
                <w:bCs/>
                <w:color w:val="000000" w:themeColor="text1"/>
                <w:lang w:val="es-CO"/>
              </w:rPr>
              <w:t xml:space="preserve">En atención a que la controversia jurídica planteada en el proceso </w:t>
            </w:r>
            <w:r w:rsidR="00250DD8">
              <w:rPr>
                <w:rFonts w:ascii="Arial Narrow" w:hAnsi="Arial Narrow"/>
                <w:bCs/>
                <w:color w:val="000000" w:themeColor="text1"/>
                <w:lang w:val="es-CO"/>
              </w:rPr>
              <w:t>judicial</w:t>
            </w:r>
            <w:r w:rsidRPr="001B76ED">
              <w:rPr>
                <w:rFonts w:ascii="Arial Narrow" w:hAnsi="Arial Narrow"/>
                <w:bCs/>
                <w:color w:val="000000" w:themeColor="text1"/>
                <w:lang w:val="es-CO"/>
              </w:rPr>
              <w:t xml:space="preserve"> </w:t>
            </w:r>
            <w:r w:rsidR="00250DD8">
              <w:rPr>
                <w:rFonts w:ascii="Arial Narrow" w:hAnsi="Arial Narrow"/>
                <w:bCs/>
                <w:color w:val="000000" w:themeColor="text1"/>
                <w:lang w:val="es-CO"/>
              </w:rPr>
              <w:t xml:space="preserve">que cursa </w:t>
            </w:r>
            <w:r w:rsidRPr="001B76ED">
              <w:rPr>
                <w:rFonts w:ascii="Arial Narrow" w:hAnsi="Arial Narrow"/>
                <w:bCs/>
                <w:color w:val="000000" w:themeColor="text1"/>
                <w:lang w:val="es-CO"/>
              </w:rPr>
              <w:t xml:space="preserve">bajo el número </w:t>
            </w:r>
            <w:r w:rsidR="00250DD8">
              <w:rPr>
                <w:rFonts w:ascii="Arial Narrow" w:hAnsi="Arial Narrow"/>
                <w:bCs/>
                <w:color w:val="000000" w:themeColor="text1"/>
                <w:lang w:val="es-CO"/>
              </w:rPr>
              <w:t xml:space="preserve">de radicado </w:t>
            </w:r>
            <w:r w:rsidR="00250DD8" w:rsidRPr="002816F7">
              <w:rPr>
                <w:rFonts w:ascii="Arial Narrow" w:eastAsia="Calibri" w:hAnsi="Arial Narrow"/>
                <w:bCs/>
                <w:color w:val="000000" w:themeColor="text1"/>
              </w:rPr>
              <w:t>25000234100020230063800</w:t>
            </w:r>
            <w:r w:rsidR="00250DD8">
              <w:rPr>
                <w:rFonts w:ascii="Arial Narrow" w:eastAsia="Calibri" w:hAnsi="Arial Narrow"/>
                <w:bCs/>
                <w:color w:val="000000" w:themeColor="text1"/>
              </w:rPr>
              <w:t xml:space="preserve"> </w:t>
            </w:r>
            <w:r w:rsidRPr="001B76ED">
              <w:rPr>
                <w:rFonts w:ascii="Arial Narrow" w:hAnsi="Arial Narrow"/>
                <w:bCs/>
                <w:color w:val="000000" w:themeColor="text1"/>
                <w:lang w:val="es-CO"/>
              </w:rPr>
              <w:t xml:space="preserve">surge </w:t>
            </w:r>
            <w:r w:rsidR="00250DD8">
              <w:rPr>
                <w:rFonts w:ascii="Arial Narrow" w:hAnsi="Arial Narrow"/>
                <w:bCs/>
                <w:color w:val="000000" w:themeColor="text1"/>
                <w:lang w:val="es-CO"/>
              </w:rPr>
              <w:t>a raíz de la</w:t>
            </w:r>
            <w:r w:rsidRPr="001B76ED">
              <w:rPr>
                <w:rFonts w:ascii="Arial Narrow" w:hAnsi="Arial Narrow"/>
                <w:bCs/>
                <w:color w:val="000000" w:themeColor="text1"/>
                <w:lang w:val="es-CO"/>
              </w:rPr>
              <w:t xml:space="preserve"> omisión del agente liquidador de </w:t>
            </w:r>
            <w:r w:rsidR="00250DD8">
              <w:rPr>
                <w:rFonts w:ascii="Arial Narrow" w:hAnsi="Arial Narrow"/>
                <w:bCs/>
                <w:color w:val="000000" w:themeColor="text1"/>
                <w:lang w:val="es-CO"/>
              </w:rPr>
              <w:t xml:space="preserve">COOMEVA EPS </w:t>
            </w:r>
            <w:r w:rsidR="00250DD8">
              <w:rPr>
                <w:rFonts w:ascii="Arial Narrow" w:hAnsi="Arial Narrow"/>
                <w:bCs/>
                <w:color w:val="000000" w:themeColor="text1"/>
                <w:lang w:val="es-CO"/>
              </w:rPr>
              <w:t>(hoy COOMEVA EPS LIQUIDADA)</w:t>
            </w:r>
            <w:r w:rsidR="00250DD8">
              <w:rPr>
                <w:rFonts w:ascii="Arial Narrow" w:hAnsi="Arial Narrow"/>
                <w:bCs/>
                <w:color w:val="000000" w:themeColor="text1"/>
                <w:lang w:val="es-CO"/>
              </w:rPr>
              <w:t xml:space="preserve"> </w:t>
            </w:r>
            <w:r w:rsidRPr="001B76ED">
              <w:rPr>
                <w:rFonts w:ascii="Arial Narrow" w:hAnsi="Arial Narrow"/>
                <w:bCs/>
                <w:color w:val="000000" w:themeColor="text1"/>
                <w:lang w:val="es-CO"/>
              </w:rPr>
              <w:t>en la exclusión y restitución de los recursos del Sistema General de Seguridad Social en Salud (SGSSS) a favor de la ADRES, y no de una actuación directa de la Superintendencia Nacional de Salud, se torna improcedente acudir al mecanismo de mediación interadministrativa</w:t>
            </w:r>
            <w:r w:rsidR="00250DD8">
              <w:rPr>
                <w:rFonts w:ascii="Arial Narrow" w:hAnsi="Arial Narrow"/>
                <w:bCs/>
                <w:color w:val="000000" w:themeColor="text1"/>
                <w:lang w:val="es-CO"/>
              </w:rPr>
              <w:t>, por las siguientes razones:</w:t>
            </w:r>
          </w:p>
          <w:p w14:paraId="708E86E2" w14:textId="77777777" w:rsidR="00250DD8" w:rsidRDefault="00250DD8" w:rsidP="00250DD8">
            <w:pPr>
              <w:pStyle w:val="TableParagraph"/>
              <w:tabs>
                <w:tab w:val="left" w:pos="584"/>
              </w:tabs>
              <w:ind w:left="589" w:right="458"/>
              <w:jc w:val="both"/>
              <w:rPr>
                <w:rFonts w:ascii="Arial Narrow" w:hAnsi="Arial Narrow"/>
                <w:bCs/>
                <w:color w:val="000000" w:themeColor="text1"/>
                <w:lang w:val="es-CO"/>
              </w:rPr>
            </w:pPr>
          </w:p>
          <w:p w14:paraId="1807DAAD" w14:textId="279D37C2" w:rsidR="00250DD8" w:rsidRPr="00250DD8" w:rsidRDefault="00250DD8" w:rsidP="00250DD8">
            <w:pPr>
              <w:pStyle w:val="TableParagraph"/>
              <w:numPr>
                <w:ilvl w:val="0"/>
                <w:numId w:val="40"/>
              </w:numPr>
              <w:tabs>
                <w:tab w:val="left" w:pos="584"/>
              </w:tabs>
              <w:ind w:right="458"/>
              <w:jc w:val="both"/>
              <w:rPr>
                <w:rFonts w:ascii="Arial Narrow" w:hAnsi="Arial Narrow"/>
                <w:bCs/>
                <w:color w:val="000000" w:themeColor="text1"/>
                <w:lang w:val="es-CO"/>
              </w:rPr>
            </w:pPr>
            <w:r>
              <w:rPr>
                <w:rFonts w:ascii="Arial Narrow" w:hAnsi="Arial Narrow"/>
                <w:bCs/>
                <w:color w:val="000000" w:themeColor="text1"/>
                <w:lang w:val="es-CO"/>
              </w:rPr>
              <w:t xml:space="preserve">Las partes del proceso están compuestas por dos entidades públicas y une entidad privada, por lo cual no es posible acudir al </w:t>
            </w:r>
            <w:r w:rsidRPr="00085E20">
              <w:rPr>
                <w:rFonts w:ascii="Arial Narrow" w:hAnsi="Arial Narrow"/>
                <w:bCs/>
                <w:color w:val="000000" w:themeColor="text1"/>
              </w:rPr>
              <w:t xml:space="preserve">mecanismo de mediación previsto en el artículo </w:t>
            </w:r>
            <w:r>
              <w:rPr>
                <w:rFonts w:ascii="Arial Narrow" w:hAnsi="Arial Narrow"/>
                <w:bCs/>
                <w:color w:val="000000" w:themeColor="text1"/>
              </w:rPr>
              <w:t>4</w:t>
            </w:r>
            <w:r>
              <w:rPr>
                <w:rStyle w:val="Refdenotaalpie"/>
              </w:rPr>
              <w:t xml:space="preserve"> </w:t>
            </w:r>
            <w:r w:rsidRPr="00085E20">
              <w:rPr>
                <w:rFonts w:ascii="Arial Narrow" w:hAnsi="Arial Narrow"/>
                <w:bCs/>
                <w:color w:val="000000" w:themeColor="text1"/>
              </w:rPr>
              <w:t>del</w:t>
            </w:r>
            <w:r w:rsidRPr="00085E20">
              <w:rPr>
                <w:rFonts w:ascii="Arial Narrow" w:hAnsi="Arial Narrow"/>
                <w:b/>
                <w:i/>
                <w:iCs/>
                <w:color w:val="000000" w:themeColor="text1"/>
              </w:rPr>
              <w:t xml:space="preserve"> </w:t>
            </w:r>
            <w:r w:rsidRPr="00085E20">
              <w:rPr>
                <w:rFonts w:ascii="Arial Narrow" w:hAnsi="Arial Narrow"/>
                <w:bCs/>
                <w:color w:val="000000" w:themeColor="text1"/>
              </w:rPr>
              <w:t>Decreto 0104 de 2025</w:t>
            </w:r>
            <w:r>
              <w:rPr>
                <w:rFonts w:ascii="Arial Narrow" w:hAnsi="Arial Narrow"/>
                <w:bCs/>
                <w:color w:val="000000" w:themeColor="text1"/>
              </w:rPr>
              <w:t xml:space="preserve"> </w:t>
            </w:r>
            <w:r>
              <w:rPr>
                <w:rFonts w:ascii="Arial Narrow" w:hAnsi="Arial Narrow"/>
                <w:bCs/>
                <w:color w:val="000000" w:themeColor="text1"/>
              </w:rPr>
              <w:t xml:space="preserve">que modificó el artículo </w:t>
            </w:r>
            <w:r w:rsidRPr="00085E20">
              <w:rPr>
                <w:rFonts w:ascii="Arial Narrow" w:hAnsi="Arial Narrow"/>
                <w:bCs/>
                <w:color w:val="000000" w:themeColor="text1"/>
              </w:rPr>
              <w:t>2.2.3.2.2.1.1</w:t>
            </w:r>
            <w:r>
              <w:rPr>
                <w:rFonts w:ascii="Arial Narrow" w:hAnsi="Arial Narrow"/>
                <w:bCs/>
                <w:color w:val="000000" w:themeColor="text1"/>
              </w:rPr>
              <w:t xml:space="preserve">. del </w:t>
            </w:r>
            <w:r w:rsidRPr="006C262D">
              <w:rPr>
                <w:rFonts w:ascii="Arial Narrow" w:hAnsi="Arial Narrow"/>
                <w:color w:val="000000" w:themeColor="text1"/>
              </w:rPr>
              <w:t>Decreto 1069 de 2015</w:t>
            </w:r>
            <w:r>
              <w:rPr>
                <w:rFonts w:ascii="Arial Narrow" w:hAnsi="Arial Narrow"/>
                <w:color w:val="000000" w:themeColor="text1"/>
              </w:rPr>
              <w:t xml:space="preserve"> y </w:t>
            </w:r>
            <w:r>
              <w:rPr>
                <w:rFonts w:ascii="Arial Narrow" w:hAnsi="Arial Narrow"/>
                <w:color w:val="000000" w:themeColor="text1"/>
              </w:rPr>
              <w:t>l</w:t>
            </w:r>
            <w:r>
              <w:rPr>
                <w:rFonts w:ascii="Arial Narrow" w:hAnsi="Arial Narrow"/>
                <w:color w:val="000000" w:themeColor="text1"/>
              </w:rPr>
              <w:t>a</w:t>
            </w:r>
            <w:r>
              <w:rPr>
                <w:rFonts w:ascii="Arial Narrow" w:hAnsi="Arial Narrow"/>
                <w:b/>
                <w:i/>
                <w:iCs/>
                <w:color w:val="000000" w:themeColor="text1"/>
              </w:rPr>
              <w:t xml:space="preserve"> </w:t>
            </w:r>
            <w:r w:rsidRPr="00296694">
              <w:rPr>
                <w:rFonts w:ascii="Arial Narrow" w:hAnsi="Arial Narrow"/>
                <w:bCs/>
                <w:color w:val="000000" w:themeColor="text1"/>
              </w:rPr>
              <w:t xml:space="preserve">Circular Externa </w:t>
            </w:r>
            <w:proofErr w:type="spellStart"/>
            <w:r w:rsidRPr="00296694">
              <w:rPr>
                <w:rFonts w:ascii="Arial Narrow" w:hAnsi="Arial Narrow"/>
                <w:bCs/>
                <w:color w:val="000000" w:themeColor="text1"/>
              </w:rPr>
              <w:t>N°</w:t>
            </w:r>
            <w:proofErr w:type="spellEnd"/>
            <w:r w:rsidRPr="00296694">
              <w:rPr>
                <w:rFonts w:ascii="Arial Narrow" w:hAnsi="Arial Narrow"/>
                <w:bCs/>
                <w:color w:val="000000" w:themeColor="text1"/>
              </w:rPr>
              <w:t xml:space="preserve"> 16</w:t>
            </w:r>
            <w:r>
              <w:rPr>
                <w:rFonts w:ascii="Arial Narrow" w:hAnsi="Arial Narrow"/>
                <w:bCs/>
                <w:color w:val="000000" w:themeColor="text1"/>
              </w:rPr>
              <w:t xml:space="preserve"> expedida por la ANDJE.</w:t>
            </w:r>
          </w:p>
          <w:p w14:paraId="16E02309" w14:textId="77777777" w:rsidR="00250DD8" w:rsidRPr="00250DD8" w:rsidRDefault="00250DD8" w:rsidP="00250DD8">
            <w:pPr>
              <w:pStyle w:val="TableParagraph"/>
              <w:tabs>
                <w:tab w:val="left" w:pos="584"/>
              </w:tabs>
              <w:ind w:left="949" w:right="458"/>
              <w:jc w:val="both"/>
              <w:rPr>
                <w:rFonts w:ascii="Arial Narrow" w:hAnsi="Arial Narrow"/>
                <w:bCs/>
                <w:color w:val="000000" w:themeColor="text1"/>
                <w:lang w:val="es-CO"/>
              </w:rPr>
            </w:pPr>
          </w:p>
          <w:p w14:paraId="58411E2D" w14:textId="77777777" w:rsidR="00ED7E45" w:rsidRDefault="00250DD8" w:rsidP="00ED7E45">
            <w:pPr>
              <w:pStyle w:val="TableParagraph"/>
              <w:numPr>
                <w:ilvl w:val="0"/>
                <w:numId w:val="40"/>
              </w:numPr>
              <w:tabs>
                <w:tab w:val="left" w:pos="584"/>
              </w:tabs>
              <w:ind w:right="458"/>
              <w:jc w:val="both"/>
              <w:rPr>
                <w:rFonts w:ascii="Arial Narrow" w:hAnsi="Arial Narrow"/>
                <w:bCs/>
                <w:color w:val="000000" w:themeColor="text1"/>
                <w:lang w:val="es-CO"/>
              </w:rPr>
            </w:pPr>
            <w:r>
              <w:rPr>
                <w:rFonts w:ascii="Arial Narrow" w:hAnsi="Arial Narrow"/>
                <w:bCs/>
                <w:color w:val="000000" w:themeColor="text1"/>
                <w:lang w:val="es-CO"/>
              </w:rPr>
              <w:t xml:space="preserve">Los actos administrativos objeto de la demanda no fueron expedidos por la </w:t>
            </w:r>
            <w:r w:rsidR="00ED7E45">
              <w:rPr>
                <w:rFonts w:ascii="Arial Narrow" w:hAnsi="Arial Narrow"/>
                <w:bCs/>
                <w:color w:val="000000" w:themeColor="text1"/>
                <w:lang w:val="es-CO"/>
              </w:rPr>
              <w:t>Superintendencia</w:t>
            </w:r>
            <w:r>
              <w:rPr>
                <w:rFonts w:ascii="Arial Narrow" w:hAnsi="Arial Narrow"/>
                <w:bCs/>
                <w:color w:val="000000" w:themeColor="text1"/>
                <w:lang w:val="es-CO"/>
              </w:rPr>
              <w:t xml:space="preserve"> Nacional de Salud, sino por el liquidador de COOMEVA EPS (hoy COOMEVA EPS LIQUIDADA)</w:t>
            </w:r>
            <w:r w:rsidR="00ED7E45">
              <w:rPr>
                <w:rFonts w:ascii="Arial Narrow" w:hAnsi="Arial Narrow"/>
                <w:bCs/>
                <w:color w:val="000000" w:themeColor="text1"/>
                <w:lang w:val="es-CO"/>
              </w:rPr>
              <w:t>.</w:t>
            </w:r>
          </w:p>
          <w:p w14:paraId="552F7BCA" w14:textId="77777777" w:rsidR="00ED7E45" w:rsidRDefault="00ED7E45" w:rsidP="00ED7E45">
            <w:pPr>
              <w:pStyle w:val="Prrafodelista"/>
              <w:rPr>
                <w:rFonts w:ascii="Arial Narrow" w:hAnsi="Arial Narrow"/>
                <w:bCs/>
                <w:color w:val="000000" w:themeColor="text1"/>
                <w:lang w:val="es-CO"/>
              </w:rPr>
            </w:pPr>
          </w:p>
          <w:p w14:paraId="442C384F" w14:textId="662BF467" w:rsidR="00807077" w:rsidRDefault="00ED7E45" w:rsidP="00807077">
            <w:pPr>
              <w:pStyle w:val="TableParagraph"/>
              <w:numPr>
                <w:ilvl w:val="0"/>
                <w:numId w:val="40"/>
              </w:numPr>
              <w:tabs>
                <w:tab w:val="left" w:pos="584"/>
              </w:tabs>
              <w:ind w:right="458"/>
              <w:jc w:val="both"/>
              <w:rPr>
                <w:rFonts w:ascii="Arial Narrow" w:hAnsi="Arial Narrow"/>
                <w:bCs/>
                <w:color w:val="000000" w:themeColor="text1"/>
                <w:lang w:val="es-CO"/>
              </w:rPr>
            </w:pPr>
            <w:r>
              <w:rPr>
                <w:rFonts w:ascii="Arial Narrow" w:hAnsi="Arial Narrow"/>
                <w:bCs/>
                <w:color w:val="000000" w:themeColor="text1"/>
                <w:lang w:val="es-CO"/>
              </w:rPr>
              <w:t>No es posible acogerse a la mediación con la Superintendencia Nacional de Salud, dado que se está cuestionando su participación en el proceso de liquidación de COOMEVA EPS</w:t>
            </w:r>
            <w:r w:rsidR="006D032A">
              <w:rPr>
                <w:rFonts w:ascii="Arial Narrow" w:hAnsi="Arial Narrow"/>
                <w:bCs/>
                <w:color w:val="000000" w:themeColor="text1"/>
                <w:lang w:val="es-CO"/>
              </w:rPr>
              <w:t xml:space="preserve"> </w:t>
            </w:r>
            <w:r w:rsidR="006D032A">
              <w:rPr>
                <w:rFonts w:ascii="Arial Narrow" w:hAnsi="Arial Narrow"/>
                <w:bCs/>
                <w:color w:val="000000" w:themeColor="text1"/>
                <w:lang w:val="es-CO"/>
              </w:rPr>
              <w:t>(hoy COOMEVA EPS LIQUIDADA).</w:t>
            </w:r>
            <w:r>
              <w:rPr>
                <w:rFonts w:ascii="Arial Narrow" w:hAnsi="Arial Narrow"/>
                <w:bCs/>
                <w:color w:val="000000" w:themeColor="text1"/>
                <w:lang w:val="es-CO"/>
              </w:rPr>
              <w:t xml:space="preserve"> </w:t>
            </w:r>
            <w:proofErr w:type="gramStart"/>
            <w:r>
              <w:rPr>
                <w:rFonts w:ascii="Arial Narrow" w:hAnsi="Arial Narrow"/>
                <w:bCs/>
                <w:color w:val="000000" w:themeColor="text1"/>
                <w:lang w:val="es-CO"/>
              </w:rPr>
              <w:t>y</w:t>
            </w:r>
            <w:proofErr w:type="gramEnd"/>
            <w:r>
              <w:rPr>
                <w:rFonts w:ascii="Arial Narrow" w:hAnsi="Arial Narrow"/>
                <w:bCs/>
                <w:color w:val="000000" w:themeColor="text1"/>
                <w:lang w:val="es-CO"/>
              </w:rPr>
              <w:t xml:space="preserve"> en la forma en como desempeñó sus funciones de </w:t>
            </w:r>
            <w:r w:rsidR="006D20F0" w:rsidRPr="00ED7E45">
              <w:rPr>
                <w:rFonts w:ascii="Arial Narrow" w:hAnsi="Arial Narrow"/>
                <w:bCs/>
                <w:color w:val="000000" w:themeColor="text1"/>
                <w:lang w:val="es-CO"/>
              </w:rPr>
              <w:t>inspección, vigilancia y control</w:t>
            </w:r>
            <w:r>
              <w:rPr>
                <w:rFonts w:ascii="Arial Narrow" w:hAnsi="Arial Narrow"/>
                <w:bCs/>
                <w:color w:val="000000" w:themeColor="text1"/>
                <w:lang w:val="es-CO"/>
              </w:rPr>
              <w:t>.</w:t>
            </w:r>
          </w:p>
          <w:p w14:paraId="6F790EC1" w14:textId="77777777" w:rsidR="00807077" w:rsidRDefault="00807077" w:rsidP="00807077">
            <w:pPr>
              <w:pStyle w:val="Prrafodelista"/>
              <w:rPr>
                <w:rFonts w:ascii="Arial Narrow" w:hAnsi="Arial Narrow"/>
                <w:bCs/>
                <w:color w:val="000000" w:themeColor="text1"/>
                <w:lang w:val="es-CO"/>
              </w:rPr>
            </w:pPr>
          </w:p>
          <w:p w14:paraId="125FEA8A" w14:textId="1E5A0704" w:rsidR="00807077" w:rsidRDefault="00250DD8" w:rsidP="00807077">
            <w:pPr>
              <w:pStyle w:val="TableParagraph"/>
              <w:numPr>
                <w:ilvl w:val="0"/>
                <w:numId w:val="40"/>
              </w:numPr>
              <w:tabs>
                <w:tab w:val="left" w:pos="584"/>
              </w:tabs>
              <w:ind w:right="458"/>
              <w:jc w:val="both"/>
              <w:rPr>
                <w:rFonts w:ascii="Arial Narrow" w:hAnsi="Arial Narrow"/>
                <w:bCs/>
                <w:color w:val="000000" w:themeColor="text1"/>
                <w:lang w:val="es-CO"/>
              </w:rPr>
            </w:pPr>
            <w:r w:rsidRPr="00807077">
              <w:rPr>
                <w:rFonts w:ascii="Arial Narrow" w:hAnsi="Arial Narrow"/>
                <w:bCs/>
                <w:color w:val="000000" w:themeColor="text1"/>
                <w:lang w:val="es-CO"/>
              </w:rPr>
              <w:t>Aunado a lo anterior</w:t>
            </w:r>
            <w:r w:rsidR="006D20F0" w:rsidRPr="00807077">
              <w:rPr>
                <w:rFonts w:ascii="Arial Narrow" w:hAnsi="Arial Narrow"/>
                <w:bCs/>
                <w:color w:val="000000" w:themeColor="text1"/>
                <w:lang w:val="es-CO"/>
              </w:rPr>
              <w:t>, el monto en controversia asciende a</w:t>
            </w:r>
            <w:r w:rsidRPr="00807077">
              <w:rPr>
                <w:rFonts w:ascii="Arial Narrow" w:hAnsi="Arial Narrow"/>
                <w:bCs/>
                <w:color w:val="000000" w:themeColor="text1"/>
                <w:lang w:val="es-CO"/>
              </w:rPr>
              <w:t xml:space="preserve"> la suma de </w:t>
            </w:r>
            <w:r w:rsidRPr="00807077">
              <w:rPr>
                <w:rFonts w:ascii="Arial Narrow" w:hAnsi="Arial Narrow"/>
                <w:color w:val="000000" w:themeColor="text1"/>
                <w:lang w:val="es-CO"/>
              </w:rPr>
              <w:t>$116.535.689.802,</w:t>
            </w:r>
            <w:r w:rsidR="00807077" w:rsidRPr="00807077">
              <w:rPr>
                <w:rFonts w:ascii="Arial Narrow" w:hAnsi="Arial Narrow"/>
                <w:color w:val="000000" w:themeColor="text1"/>
                <w:lang w:val="es-CO"/>
              </w:rPr>
              <w:t>63, lo</w:t>
            </w:r>
            <w:r w:rsidR="006D20F0" w:rsidRPr="00807077">
              <w:rPr>
                <w:rFonts w:ascii="Arial Narrow" w:hAnsi="Arial Narrow"/>
                <w:bCs/>
                <w:color w:val="000000" w:themeColor="text1"/>
                <w:lang w:val="es-CO"/>
              </w:rPr>
              <w:t xml:space="preserve"> </w:t>
            </w:r>
            <w:r w:rsidRPr="00807077">
              <w:rPr>
                <w:rFonts w:ascii="Arial Narrow" w:hAnsi="Arial Narrow"/>
                <w:bCs/>
                <w:color w:val="000000" w:themeColor="text1"/>
                <w:lang w:val="es-CO"/>
              </w:rPr>
              <w:t xml:space="preserve">cual </w:t>
            </w:r>
            <w:r w:rsidR="006D20F0" w:rsidRPr="00807077">
              <w:rPr>
                <w:rFonts w:ascii="Arial Narrow" w:hAnsi="Arial Narrow"/>
                <w:bCs/>
                <w:color w:val="000000" w:themeColor="text1"/>
                <w:lang w:val="es-CO"/>
              </w:rPr>
              <w:t xml:space="preserve">implica una afectación significativa a recursos públicos de naturaleza parafiscal con destinación específica para la financiación del SGSSS, razón por la cual la ADRES no puede disponer de estos mediante un acuerdo conciliatorio sin contar con el reconocimiento de una obligación clara y exigible por parte de la contraparte. </w:t>
            </w:r>
          </w:p>
          <w:p w14:paraId="04B56197" w14:textId="77777777" w:rsidR="00807077" w:rsidRDefault="00807077" w:rsidP="00807077">
            <w:pPr>
              <w:pStyle w:val="Prrafodelista"/>
              <w:rPr>
                <w:rFonts w:ascii="Arial Narrow" w:hAnsi="Arial Narrow"/>
                <w:bCs/>
                <w:color w:val="000000" w:themeColor="text1"/>
                <w:lang w:val="es-CO"/>
              </w:rPr>
            </w:pPr>
          </w:p>
          <w:p w14:paraId="3B88DA14" w14:textId="2CBAAD2E" w:rsidR="006D20F0" w:rsidRPr="00807077" w:rsidRDefault="006D20F0" w:rsidP="00807077">
            <w:pPr>
              <w:pStyle w:val="TableParagraph"/>
              <w:numPr>
                <w:ilvl w:val="0"/>
                <w:numId w:val="40"/>
              </w:numPr>
              <w:tabs>
                <w:tab w:val="left" w:pos="584"/>
              </w:tabs>
              <w:ind w:right="458"/>
              <w:jc w:val="both"/>
              <w:rPr>
                <w:rFonts w:ascii="Arial Narrow" w:hAnsi="Arial Narrow"/>
                <w:bCs/>
                <w:color w:val="000000" w:themeColor="text1"/>
                <w:lang w:val="es-CO"/>
              </w:rPr>
            </w:pPr>
            <w:r w:rsidRPr="00807077">
              <w:rPr>
                <w:rFonts w:ascii="Arial Narrow" w:hAnsi="Arial Narrow"/>
                <w:bCs/>
                <w:color w:val="000000" w:themeColor="text1"/>
                <w:lang w:val="es-CO"/>
              </w:rPr>
              <w:t>Dado que los recursos de la salud son inembargables</w:t>
            </w:r>
            <w:r w:rsidR="00807077">
              <w:rPr>
                <w:rFonts w:ascii="Arial Narrow" w:hAnsi="Arial Narrow"/>
                <w:bCs/>
                <w:color w:val="000000" w:themeColor="text1"/>
                <w:lang w:val="es-CO"/>
              </w:rPr>
              <w:t xml:space="preserve"> e</w:t>
            </w:r>
            <w:r w:rsidRPr="00807077">
              <w:rPr>
                <w:rFonts w:ascii="Arial Narrow" w:hAnsi="Arial Narrow"/>
                <w:bCs/>
                <w:color w:val="000000" w:themeColor="text1"/>
                <w:lang w:val="es-CO"/>
              </w:rPr>
              <w:t xml:space="preserve"> inalienables y deben destinarse exclusivamente a la financiación del SGSSS, cualquier mecanismo alternativo de resolución de conflictos requeriría que la Superintendencia Nacional de Salud o el agente liquidador de </w:t>
            </w:r>
            <w:r w:rsidR="006D032A">
              <w:rPr>
                <w:rFonts w:ascii="Arial Narrow" w:hAnsi="Arial Narrow"/>
                <w:bCs/>
                <w:color w:val="000000" w:themeColor="text1"/>
                <w:lang w:val="es-CO"/>
              </w:rPr>
              <w:t xml:space="preserve">COOMEVA EPS </w:t>
            </w:r>
            <w:r w:rsidR="006D032A">
              <w:rPr>
                <w:rFonts w:ascii="Arial Narrow" w:hAnsi="Arial Narrow"/>
                <w:bCs/>
                <w:color w:val="000000" w:themeColor="text1"/>
                <w:lang w:val="es-CO"/>
              </w:rPr>
              <w:t>(hoy COOMEVA EPS LIQUIDADA)</w:t>
            </w:r>
            <w:r w:rsidR="006D032A">
              <w:rPr>
                <w:rFonts w:ascii="Arial Narrow" w:hAnsi="Arial Narrow"/>
                <w:bCs/>
                <w:color w:val="000000" w:themeColor="text1"/>
                <w:lang w:val="es-CO"/>
              </w:rPr>
              <w:t>,</w:t>
            </w:r>
            <w:r w:rsidRPr="00807077">
              <w:rPr>
                <w:rFonts w:ascii="Arial Narrow" w:hAnsi="Arial Narrow"/>
                <w:bCs/>
                <w:color w:val="000000" w:themeColor="text1"/>
                <w:lang w:val="es-CO"/>
              </w:rPr>
              <w:t xml:space="preserve"> reconozcan expresamente la obligación de reintegro</w:t>
            </w:r>
            <w:r w:rsidR="006D032A">
              <w:rPr>
                <w:rFonts w:ascii="Arial Narrow" w:hAnsi="Arial Narrow"/>
                <w:bCs/>
                <w:color w:val="000000" w:themeColor="text1"/>
                <w:lang w:val="es-CO"/>
              </w:rPr>
              <w:t>, sin ese</w:t>
            </w:r>
            <w:r w:rsidRPr="00807077">
              <w:rPr>
                <w:rFonts w:ascii="Arial Narrow" w:hAnsi="Arial Narrow"/>
                <w:bCs/>
                <w:color w:val="000000" w:themeColor="text1"/>
                <w:lang w:val="es-CO"/>
              </w:rPr>
              <w:t xml:space="preserve"> reconocimiento, la mediación carecería de efectos jurídicos vinculantes y no garantizaría la recuperación efectiva de los recursos, lo que podría generar una afectación a la sostenibilidad del sistema de salud y comprometer la integridad del patrimonio administrado por la ADRES.</w:t>
            </w:r>
          </w:p>
          <w:p w14:paraId="0C2311B4" w14:textId="77777777" w:rsidR="006D20F0" w:rsidRPr="001B76ED" w:rsidRDefault="006D20F0" w:rsidP="006D20F0">
            <w:pPr>
              <w:pStyle w:val="TableParagraph"/>
              <w:tabs>
                <w:tab w:val="left" w:pos="584"/>
              </w:tabs>
              <w:ind w:left="836" w:right="458"/>
              <w:jc w:val="both"/>
              <w:rPr>
                <w:rFonts w:ascii="Arial Narrow" w:hAnsi="Arial Narrow"/>
                <w:bCs/>
                <w:color w:val="000000" w:themeColor="text1"/>
                <w:lang w:val="es-CO"/>
              </w:rPr>
            </w:pPr>
          </w:p>
          <w:p w14:paraId="43599769" w14:textId="0323240E" w:rsidR="00FB62BA" w:rsidRDefault="006D20F0" w:rsidP="006D20F0">
            <w:pPr>
              <w:pStyle w:val="TableParagraph"/>
              <w:ind w:left="567" w:right="567"/>
              <w:jc w:val="both"/>
              <w:rPr>
                <w:rFonts w:ascii="Arial Narrow" w:hAnsi="Arial Narrow"/>
                <w:bCs/>
                <w:color w:val="000000" w:themeColor="text1"/>
                <w:lang w:val="es-CO"/>
              </w:rPr>
            </w:pPr>
            <w:r w:rsidRPr="001B76ED">
              <w:rPr>
                <w:rFonts w:ascii="Arial Narrow" w:hAnsi="Arial Narrow"/>
                <w:bCs/>
                <w:color w:val="000000" w:themeColor="text1"/>
                <w:lang w:val="es-CO"/>
              </w:rPr>
              <w:t xml:space="preserve">En consecuencia, se recomienda al Comité de Conciliación de la ADRES abstenerse de autorizar la mediación con la Superintendencia Nacional de Salud y continuar con la acción judicial en curso ante el Tribunal Administrativo de Cundinamarca, con el fin de obtener la declaración de nulidad de los actos administrativos demandados y el reconocimiento del derecho de la ADRES al reintegro de los recursos, conforme a lo establecido en el artículo 12 de la Ley 1797 de 2016, la Resolución 574 de 2017 (vigente para la fecha de los hechos) y </w:t>
            </w:r>
            <w:r w:rsidR="00B30874">
              <w:rPr>
                <w:rFonts w:ascii="Arial Narrow" w:hAnsi="Arial Narrow"/>
                <w:bCs/>
                <w:color w:val="000000" w:themeColor="text1"/>
                <w:lang w:val="es-CO"/>
              </w:rPr>
              <w:t xml:space="preserve">la </w:t>
            </w:r>
            <w:r w:rsidRPr="001B76ED">
              <w:rPr>
                <w:rFonts w:ascii="Arial Narrow" w:hAnsi="Arial Narrow"/>
                <w:bCs/>
                <w:color w:val="000000" w:themeColor="text1"/>
                <w:lang w:val="es-CO"/>
              </w:rPr>
              <w:t>Resolución 784 de 2024.</w:t>
            </w:r>
          </w:p>
          <w:p w14:paraId="093CA70C" w14:textId="386AD11A" w:rsidR="008C19F3" w:rsidRPr="00200C52" w:rsidRDefault="008C19F3" w:rsidP="006D20F0">
            <w:pPr>
              <w:pStyle w:val="TableParagraph"/>
              <w:ind w:left="567" w:right="567"/>
              <w:jc w:val="both"/>
              <w:rPr>
                <w:rFonts w:ascii="Arial Narrow" w:eastAsia="Calibri" w:hAnsi="Arial Narrow"/>
                <w:bCs/>
                <w:color w:val="000000" w:themeColor="text1"/>
              </w:rPr>
            </w:pPr>
          </w:p>
        </w:tc>
      </w:tr>
    </w:tbl>
    <w:p w14:paraId="288A71C8" w14:textId="28B89956" w:rsidR="00426303" w:rsidRPr="007F2B6C" w:rsidRDefault="00426303" w:rsidP="0096478A">
      <w:pPr>
        <w:tabs>
          <w:tab w:val="left" w:pos="3668"/>
        </w:tabs>
        <w:rPr>
          <w:rFonts w:ascii="Arial Narrow" w:hAnsi="Arial Narrow"/>
          <w:color w:val="FF0000"/>
          <w:lang w:val="es-CO"/>
        </w:rPr>
      </w:pPr>
    </w:p>
    <w:sectPr w:rsidR="00426303" w:rsidRPr="007F2B6C">
      <w:headerReference w:type="even" r:id="rId18"/>
      <w:headerReference w:type="default" r:id="rId19"/>
      <w:footerReference w:type="even" r:id="rId20"/>
      <w:footerReference w:type="default" r:id="rId21"/>
      <w:headerReference w:type="first" r:id="rId22"/>
      <w:footerReference w:type="first" r:id="rId2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A5F31" w14:textId="77777777" w:rsidR="00850032" w:rsidRDefault="00850032">
      <w:r>
        <w:separator/>
      </w:r>
    </w:p>
  </w:endnote>
  <w:endnote w:type="continuationSeparator" w:id="0">
    <w:p w14:paraId="3764086B" w14:textId="77777777" w:rsidR="00850032" w:rsidRDefault="00850032">
      <w:r>
        <w:continuationSeparator/>
      </w:r>
    </w:p>
  </w:endnote>
  <w:endnote w:type="continuationNotice" w:id="1">
    <w:p w14:paraId="0CEF61F1" w14:textId="77777777" w:rsidR="00850032" w:rsidRDefault="008500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353BD" w14:textId="77777777" w:rsidR="0093378D" w:rsidRDefault="0093378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761DB" w14:textId="5A61A391" w:rsidR="00B57043" w:rsidRDefault="00B57043">
    <w:pPr>
      <w:pStyle w:val="Textoindependiente"/>
      <w:spacing w:before="0" w:line="14" w:lineRule="auto"/>
      <w:rPr>
        <w:b w:val="0"/>
        <w:sz w:val="20"/>
      </w:rPr>
    </w:pPr>
    <w:r>
      <w:rPr>
        <w:noProof/>
        <w:lang w:val="es-CO" w:eastAsia="es-CO" w:bidi="ar-SA"/>
      </w:rPr>
      <mc:AlternateContent>
        <mc:Choice Requires="wps">
          <w:drawing>
            <wp:anchor distT="0" distB="0" distL="114300" distR="114300" simplePos="0" relativeHeight="251658242" behindDoc="1" locked="0" layoutInCell="1" allowOverlap="1" wp14:anchorId="3A2606E1" wp14:editId="6209797C">
              <wp:simplePos x="0" y="0"/>
              <wp:positionH relativeFrom="rightMargin">
                <wp:align>left</wp:align>
              </wp:positionH>
              <wp:positionV relativeFrom="paragraph">
                <wp:posOffset>206375</wp:posOffset>
              </wp:positionV>
              <wp:extent cx="497840" cy="109855"/>
              <wp:effectExtent l="0" t="0" r="16510" b="4445"/>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84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C7C202" w14:textId="77777777" w:rsidR="00B57043" w:rsidRDefault="00B57043">
                          <w:pPr>
                            <w:pStyle w:val="Textoindependiente"/>
                            <w:spacing w:before="15"/>
                            <w:ind w:left="20"/>
                          </w:pPr>
                          <w:r>
                            <w:t xml:space="preserve">Página </w:t>
                          </w:r>
                          <w:r>
                            <w:fldChar w:fldCharType="begin"/>
                          </w:r>
                          <w:r>
                            <w:instrText xml:space="preserve"> PAGE </w:instrText>
                          </w:r>
                          <w:r>
                            <w:fldChar w:fldCharType="separate"/>
                          </w:r>
                          <w:r w:rsidR="00365356">
                            <w:rPr>
                              <w:noProof/>
                            </w:rPr>
                            <w:t>14</w:t>
                          </w:r>
                          <w:r>
                            <w:fldChar w:fldCharType="end"/>
                          </w:r>
                          <w:r>
                            <w:t xml:space="preserve"> de 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2606E1" id="_x0000_t202" coordsize="21600,21600" o:spt="202" path="m,l,21600r21600,l21600,xe">
              <v:stroke joinstyle="miter"/>
              <v:path gradientshapeok="t" o:connecttype="rect"/>
            </v:shapetype>
            <v:shape id="Cuadro de texto 2" o:spid="_x0000_s1026" type="#_x0000_t202" style="position:absolute;margin-left:0;margin-top:16.25pt;width:39.2pt;height:8.65pt;z-index:-251658238;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" filled="f" stroked="f">
              <v:textbox inset="0,0,0,0">
                <w:txbxContent>
                  <w:p w14:paraId="3CC7C202" w14:textId="77777777" w:rsidR="00B57043" w:rsidRDefault="00B57043">
                    <w:pPr>
                      <w:pStyle w:val="Textoindependiente"/>
                      <w:spacing w:before="15"/>
                      <w:ind w:left="20"/>
                    </w:pPr>
                    <w:r>
                      <w:t xml:space="preserve">Página </w:t>
                    </w:r>
                    <w:r>
                      <w:fldChar w:fldCharType="begin"/>
                    </w:r>
                    <w:r>
                      <w:instrText xml:space="preserve"> PAGE </w:instrText>
                    </w:r>
                    <w:r>
                      <w:fldChar w:fldCharType="separate"/>
                    </w:r>
                    <w:r w:rsidR="00365356">
                      <w:rPr>
                        <w:noProof/>
                      </w:rPr>
                      <w:t>14</w:t>
                    </w:r>
                    <w:r>
                      <w:fldChar w:fldCharType="end"/>
                    </w:r>
                    <w:r>
                      <w:t xml:space="preserve"> de 10</w:t>
                    </w:r>
                  </w:p>
                </w:txbxContent>
              </v:textbox>
              <w10:wrap anchorx="margin"/>
            </v:shape>
          </w:pict>
        </mc:Fallback>
      </mc:AlternateContent>
    </w:r>
    <w:r w:rsidRPr="000E3478">
      <w:rPr>
        <w:rFonts w:ascii="Arial Narrow" w:hAnsi="Arial Narrow"/>
        <w:noProof/>
        <w:lang w:val="es-CO" w:eastAsia="es-CO" w:bidi="ar-SA"/>
      </w:rPr>
      <w:drawing>
        <wp:anchor distT="0" distB="0" distL="0" distR="0" simplePos="0" relativeHeight="251658243" behindDoc="0" locked="0" layoutInCell="1" allowOverlap="1" wp14:anchorId="6C6745A4" wp14:editId="50E78E60">
          <wp:simplePos x="0" y="0"/>
          <wp:positionH relativeFrom="margin">
            <wp:posOffset>-708660</wp:posOffset>
          </wp:positionH>
          <wp:positionV relativeFrom="paragraph">
            <wp:posOffset>-294640</wp:posOffset>
          </wp:positionV>
          <wp:extent cx="6762750" cy="447675"/>
          <wp:effectExtent l="0" t="0" r="0" b="9525"/>
          <wp:wrapTopAndBottom/>
          <wp:docPr id="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 cstate="print"/>
                  <a:stretch>
                    <a:fillRect/>
                  </a:stretch>
                </pic:blipFill>
                <pic:spPr>
                  <a:xfrm>
                    <a:off x="0" y="0"/>
                    <a:ext cx="6762750" cy="447675"/>
                  </a:xfrm>
                  <a:prstGeom prst="rect">
                    <a:avLst/>
                  </a:prstGeom>
                </pic:spPr>
              </pic:pic>
            </a:graphicData>
          </a:graphic>
          <wp14:sizeRelH relativeFrom="margin">
            <wp14:pctWidth>0</wp14:pctWidth>
          </wp14:sizeRelH>
          <wp14:sizeRelV relativeFrom="margin">
            <wp14:pctHeight>0</wp14:pctHeight>
          </wp14:sizeRelV>
        </wp:anchor>
      </w:drawing>
    </w:r>
    <w:r>
      <w:rPr>
        <w:noProof/>
        <w:lang w:val="es-CO" w:eastAsia="es-CO" w:bidi="ar-SA"/>
      </w:rPr>
      <mc:AlternateContent>
        <mc:Choice Requires="wps">
          <w:drawing>
            <wp:anchor distT="0" distB="0" distL="114300" distR="114300" simplePos="0" relativeHeight="251658241" behindDoc="1" locked="0" layoutInCell="1" allowOverlap="1" wp14:anchorId="5E4DE4FF" wp14:editId="6ECCCBD0">
              <wp:simplePos x="0" y="0"/>
              <wp:positionH relativeFrom="page">
                <wp:posOffset>385445</wp:posOffset>
              </wp:positionH>
              <wp:positionV relativeFrom="page">
                <wp:posOffset>9512300</wp:posOffset>
              </wp:positionV>
              <wp:extent cx="1479550" cy="109855"/>
              <wp:effectExtent l="0" t="0" r="0" b="0"/>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955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551D02" w14:textId="77777777" w:rsidR="00B57043" w:rsidRDefault="00B57043">
                          <w:pPr>
                            <w:pStyle w:val="Textoindependiente"/>
                            <w:spacing w:before="15"/>
                            <w:ind w:left="20"/>
                          </w:pPr>
                          <w:r>
                            <w:t>impresión generada: 6 March 2019, 4:38 PM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4DE4FF" id="Cuadro de texto 4" o:spid="_x0000_s1027" type="#_x0000_t202" style="position:absolute;margin-left:30.35pt;margin-top:749pt;width:116.5pt;height:8.6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" filled="f" stroked="f">
              <v:textbox inset="0,0,0,0">
                <w:txbxContent>
                  <w:p w14:paraId="19551D02" w14:textId="77777777" w:rsidR="00B57043" w:rsidRDefault="00B57043">
                    <w:pPr>
                      <w:pStyle w:val="Textoindependiente"/>
                      <w:spacing w:before="15"/>
                      <w:ind w:left="20"/>
                    </w:pPr>
                    <w:r>
                      <w:t>impresión generada: 6 March 2019, 4:38 PM</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2107E" w14:textId="77777777" w:rsidR="0093378D" w:rsidRDefault="0093378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20E1A" w14:textId="77777777" w:rsidR="00850032" w:rsidRDefault="00850032">
      <w:r>
        <w:separator/>
      </w:r>
    </w:p>
  </w:footnote>
  <w:footnote w:type="continuationSeparator" w:id="0">
    <w:p w14:paraId="77D4B84D" w14:textId="77777777" w:rsidR="00850032" w:rsidRDefault="00850032">
      <w:r>
        <w:continuationSeparator/>
      </w:r>
    </w:p>
  </w:footnote>
  <w:footnote w:type="continuationNotice" w:id="1">
    <w:p w14:paraId="7E2B8E90" w14:textId="77777777" w:rsidR="00850032" w:rsidRDefault="00850032"/>
  </w:footnote>
  <w:footnote w:id="2">
    <w:p w14:paraId="53DC634B" w14:textId="77777777" w:rsidR="003D6EEF" w:rsidRPr="007665DE" w:rsidRDefault="003D6EEF" w:rsidP="003D6EEF">
      <w:pPr>
        <w:pStyle w:val="Textonotapie"/>
        <w:ind w:left="-284" w:right="-234"/>
        <w:jc w:val="both"/>
        <w:rPr>
          <w:rFonts w:asciiTheme="minorHAnsi" w:hAnsiTheme="minorHAnsi" w:cstheme="minorHAnsi"/>
          <w:sz w:val="14"/>
          <w:szCs w:val="14"/>
          <w:lang w:val="es-ES"/>
        </w:rPr>
      </w:pPr>
      <w:r w:rsidRPr="007665DE">
        <w:rPr>
          <w:rStyle w:val="Refdenotaalpie"/>
          <w:rFonts w:asciiTheme="minorHAnsi" w:hAnsiTheme="minorHAnsi" w:cstheme="minorHAnsi"/>
          <w:sz w:val="14"/>
          <w:szCs w:val="14"/>
        </w:rPr>
        <w:footnoteRef/>
      </w:r>
      <w:r w:rsidRPr="007665DE">
        <w:rPr>
          <w:rFonts w:asciiTheme="minorHAnsi" w:hAnsiTheme="minorHAnsi" w:cstheme="minorHAnsi"/>
          <w:i/>
          <w:iCs/>
          <w:sz w:val="14"/>
          <w:szCs w:val="14"/>
        </w:rPr>
        <w:t xml:space="preserve"> “Artículo 2.2.3.2.2.1.1. Objeto de la mediación. La mediación de la Agencia Nacional de Defensa Jurídica del Estado consiste en facilitar y procurar que las entidades públicas, de manera voluntaria, logren un acuerdo que ponga fin a los conflictos de carácter judicial o extrajudicial, actual o eventual, que puedan presentarse entre ellos.”</w:t>
      </w:r>
    </w:p>
  </w:footnote>
  <w:footnote w:id="3">
    <w:p w14:paraId="48DA1D25" w14:textId="77777777" w:rsidR="003D6EEF" w:rsidRPr="007665DE" w:rsidRDefault="003D6EEF" w:rsidP="003D6EEF">
      <w:pPr>
        <w:pStyle w:val="Textonotapie"/>
        <w:ind w:left="-284" w:right="-234"/>
        <w:jc w:val="both"/>
        <w:rPr>
          <w:rFonts w:asciiTheme="minorHAnsi" w:hAnsiTheme="minorHAnsi" w:cstheme="minorHAnsi"/>
          <w:sz w:val="14"/>
          <w:szCs w:val="14"/>
        </w:rPr>
      </w:pPr>
      <w:r w:rsidRPr="007665DE">
        <w:rPr>
          <w:rStyle w:val="Refdenotaalpie"/>
          <w:rFonts w:asciiTheme="minorHAnsi" w:hAnsiTheme="minorHAnsi" w:cstheme="minorHAnsi"/>
          <w:sz w:val="14"/>
          <w:szCs w:val="14"/>
        </w:rPr>
        <w:footnoteRef/>
      </w:r>
      <w:r w:rsidRPr="007665DE">
        <w:rPr>
          <w:rFonts w:asciiTheme="minorHAnsi" w:hAnsiTheme="minorHAnsi" w:cstheme="minorHAnsi"/>
          <w:sz w:val="14"/>
          <w:szCs w:val="14"/>
        </w:rPr>
        <w:t xml:space="preserve"> </w:t>
      </w:r>
      <w:r w:rsidRPr="007665DE">
        <w:rPr>
          <w:rFonts w:asciiTheme="minorHAnsi" w:hAnsiTheme="minorHAnsi" w:cstheme="minorHAnsi"/>
          <w:sz w:val="14"/>
          <w:szCs w:val="14"/>
          <w:lang w:bidi="es-ES"/>
        </w:rPr>
        <w:t>"Por el cual se adiciona la Sección 4 al Capítulo 2 del Título 3 de la Parte 2 del Libro 2 del Decreto 1069 de 2015, Único Reglamentario del Sector Justicia y del Derecho, para reglamentar el Sistema de Defensa Jurídica del Estado, se modifica la Sección 1 del Capítulo 4 del Título 3 de la Parte 2 del Libro 2 de Decreto 1069 de 2015 y se dictan otras disposiciones"</w:t>
      </w:r>
    </w:p>
  </w:footnote>
  <w:footnote w:id="4">
    <w:p w14:paraId="729CF9AB" w14:textId="77777777" w:rsidR="003D6EEF" w:rsidRPr="007665DE" w:rsidRDefault="003D6EEF" w:rsidP="003D6EEF">
      <w:pPr>
        <w:pStyle w:val="Textonotapie"/>
        <w:ind w:left="-284" w:right="-234"/>
        <w:jc w:val="both"/>
        <w:rPr>
          <w:rFonts w:asciiTheme="minorHAnsi" w:hAnsiTheme="minorHAnsi" w:cstheme="minorHAnsi"/>
          <w:sz w:val="14"/>
          <w:szCs w:val="14"/>
        </w:rPr>
      </w:pPr>
      <w:r w:rsidRPr="007665DE">
        <w:rPr>
          <w:rStyle w:val="Refdenotaalpie"/>
          <w:rFonts w:asciiTheme="minorHAnsi" w:hAnsiTheme="minorHAnsi" w:cstheme="minorHAnsi"/>
          <w:sz w:val="14"/>
          <w:szCs w:val="14"/>
        </w:rPr>
        <w:footnoteRef/>
      </w:r>
      <w:r w:rsidRPr="007665DE">
        <w:rPr>
          <w:rFonts w:asciiTheme="minorHAnsi" w:hAnsiTheme="minorHAnsi" w:cstheme="minorHAnsi"/>
          <w:sz w:val="14"/>
          <w:szCs w:val="14"/>
        </w:rPr>
        <w:t xml:space="preserve"> Por medio del cual se expide el Decreto Único Reglamentario del Sector Justicia y del Derecho.</w:t>
      </w:r>
    </w:p>
  </w:footnote>
  <w:footnote w:id="5">
    <w:p w14:paraId="0B22FE2D" w14:textId="77777777" w:rsidR="003D6EEF" w:rsidRPr="007665DE" w:rsidRDefault="003D6EEF" w:rsidP="003D6EEF">
      <w:pPr>
        <w:pStyle w:val="Textonotapie"/>
        <w:ind w:left="-284" w:right="-234"/>
        <w:jc w:val="both"/>
        <w:rPr>
          <w:rFonts w:asciiTheme="minorHAnsi" w:hAnsiTheme="minorHAnsi" w:cstheme="minorHAnsi"/>
          <w:sz w:val="14"/>
          <w:szCs w:val="14"/>
        </w:rPr>
      </w:pPr>
      <w:r w:rsidRPr="007665DE">
        <w:rPr>
          <w:rStyle w:val="Refdenotaalpie"/>
          <w:rFonts w:asciiTheme="minorHAnsi" w:hAnsiTheme="minorHAnsi" w:cstheme="minorHAnsi"/>
          <w:sz w:val="14"/>
          <w:szCs w:val="14"/>
        </w:rPr>
        <w:footnoteRef/>
      </w:r>
      <w:r w:rsidRPr="007665DE">
        <w:rPr>
          <w:rFonts w:asciiTheme="minorHAnsi" w:hAnsiTheme="minorHAnsi" w:cstheme="minorHAnsi"/>
          <w:sz w:val="14"/>
          <w:szCs w:val="14"/>
        </w:rPr>
        <w:t xml:space="preserve"> </w:t>
      </w:r>
      <w:r w:rsidRPr="007665DE">
        <w:rPr>
          <w:rFonts w:asciiTheme="minorHAnsi" w:hAnsiTheme="minorHAnsi" w:cstheme="minorHAnsi"/>
          <w:sz w:val="14"/>
          <w:szCs w:val="14"/>
          <w:lang w:bidi="es-ES"/>
        </w:rPr>
        <w:t>Lineamientos para la solución temprana de conflictos entre entidades públicas.</w:t>
      </w:r>
    </w:p>
  </w:footnote>
  <w:footnote w:id="6">
    <w:p w14:paraId="587DAAEF" w14:textId="77777777" w:rsidR="003D6EEF" w:rsidRPr="007665DE" w:rsidRDefault="003D6EEF" w:rsidP="003D6EEF">
      <w:pPr>
        <w:pStyle w:val="Textonotapie"/>
        <w:ind w:left="-284" w:right="-234"/>
        <w:jc w:val="both"/>
        <w:rPr>
          <w:rFonts w:asciiTheme="minorHAnsi" w:hAnsiTheme="minorHAnsi" w:cstheme="minorHAnsi"/>
          <w:sz w:val="14"/>
          <w:szCs w:val="14"/>
        </w:rPr>
      </w:pPr>
      <w:r w:rsidRPr="007665DE">
        <w:rPr>
          <w:rStyle w:val="Refdenotaalpie"/>
          <w:rFonts w:asciiTheme="minorHAnsi" w:hAnsiTheme="minorHAnsi" w:cstheme="minorHAnsi"/>
          <w:sz w:val="14"/>
          <w:szCs w:val="14"/>
        </w:rPr>
        <w:footnoteRef/>
      </w:r>
      <w:r w:rsidRPr="007665DE">
        <w:rPr>
          <w:rFonts w:asciiTheme="minorHAnsi" w:hAnsiTheme="minorHAnsi" w:cstheme="minorHAnsi"/>
          <w:sz w:val="14"/>
          <w:szCs w:val="14"/>
        </w:rPr>
        <w:t xml:space="preserve"> </w:t>
      </w:r>
      <w:r w:rsidRPr="007665DE">
        <w:rPr>
          <w:rFonts w:asciiTheme="minorHAnsi" w:hAnsiTheme="minorHAnsi" w:cstheme="minorHAnsi"/>
          <w:color w:val="000000" w:themeColor="text1"/>
          <w:sz w:val="14"/>
          <w:szCs w:val="14"/>
        </w:rPr>
        <w:t>Por el cual se expide el Plan Nacional de Desarrollo 2022-2026 “Colombia Potencia Mundial de la Vida.</w:t>
      </w:r>
    </w:p>
  </w:footnote>
  <w:footnote w:id="7">
    <w:p w14:paraId="60C301CF" w14:textId="77777777" w:rsidR="009D263D" w:rsidRPr="009D263D" w:rsidRDefault="009D263D" w:rsidP="009D263D">
      <w:pPr>
        <w:spacing w:line="258" w:lineRule="auto"/>
        <w:ind w:left="-426" w:right="49"/>
        <w:jc w:val="both"/>
        <w:rPr>
          <w:rFonts w:asciiTheme="minorHAnsi" w:hAnsiTheme="minorHAnsi" w:cstheme="minorHAnsi"/>
          <w:i/>
          <w:iCs/>
          <w:sz w:val="14"/>
          <w:szCs w:val="14"/>
        </w:rPr>
      </w:pPr>
      <w:r w:rsidRPr="009D263D">
        <w:rPr>
          <w:rFonts w:asciiTheme="minorHAnsi" w:hAnsiTheme="minorHAnsi" w:cstheme="minorHAnsi"/>
          <w:i/>
          <w:iCs/>
          <w:sz w:val="14"/>
          <w:szCs w:val="14"/>
        </w:rPr>
        <w:footnoteRef/>
      </w:r>
      <w:r w:rsidRPr="009D263D">
        <w:rPr>
          <w:rFonts w:asciiTheme="minorHAnsi" w:hAnsiTheme="minorHAnsi" w:cstheme="minorHAnsi"/>
          <w:i/>
          <w:iCs/>
          <w:sz w:val="14"/>
          <w:szCs w:val="14"/>
        </w:rPr>
        <w:t xml:space="preserve"> ARTÍCULO  293.- Naturaleza y Normas Aplicables de la Liquidación Forzosa Administrativa. 1. Naturaleza y objeto del proceso. El proceso de liquidación forzosa administrativa de una entidad vigilada por la Superintendencia Bancaria es un proceso concursal y universal, tiene por finalidad esencial la pronta realización de los activos y el pago gradual y rápido del pasivo externo a cargo de la respectiva entidad </w:t>
      </w:r>
    </w:p>
  </w:footnote>
  <w:footnote w:id="8">
    <w:p w14:paraId="39744CA3" w14:textId="0FE5BD43" w:rsidR="009D263D" w:rsidRPr="009D263D" w:rsidRDefault="009D263D" w:rsidP="009D263D">
      <w:pPr>
        <w:pStyle w:val="Textonotapie"/>
        <w:ind w:left="-567" w:right="-376"/>
        <w:jc w:val="both"/>
        <w:rPr>
          <w:rFonts w:asciiTheme="minorHAnsi" w:hAnsiTheme="minorHAnsi" w:cstheme="minorHAnsi"/>
          <w:i/>
          <w:iCs/>
          <w:sz w:val="14"/>
          <w:szCs w:val="14"/>
        </w:rPr>
      </w:pPr>
      <w:r w:rsidRPr="009D263D">
        <w:rPr>
          <w:rStyle w:val="Refdenotaalpie"/>
          <w:rFonts w:asciiTheme="minorHAnsi" w:hAnsiTheme="minorHAnsi" w:cstheme="minorHAnsi"/>
          <w:i/>
          <w:iCs/>
          <w:sz w:val="14"/>
          <w:szCs w:val="14"/>
        </w:rPr>
        <w:footnoteRef/>
      </w:r>
      <w:r w:rsidRPr="009D263D">
        <w:rPr>
          <w:rFonts w:asciiTheme="minorHAnsi" w:hAnsiTheme="minorHAnsi" w:cstheme="minorHAnsi"/>
          <w:i/>
          <w:iCs/>
          <w:sz w:val="14"/>
          <w:szCs w:val="14"/>
        </w:rPr>
        <w:t xml:space="preserve"> </w:t>
      </w:r>
      <w:r w:rsidRPr="009D263D">
        <w:rPr>
          <w:rFonts w:asciiTheme="minorHAnsi" w:hAnsiTheme="minorHAnsi" w:cstheme="minorHAnsi"/>
          <w:i/>
          <w:iCs/>
          <w:sz w:val="14"/>
          <w:szCs w:val="14"/>
        </w:rPr>
        <w:t xml:space="preserve">“Artículo 12. Prelación de créditos en los procesos de liquidación de las Instituciones Prestadoras de Servicios de Salud, (IPS), y de las Entidades I Promotoras de Salud (EPS). En los procesos de liquidación de las Entidades Promotoras de Salud, incluso los que están en curso, e Instituciones Prestadoras de Servicios de Salud se aplicará la siguiente prelación de créditos, previo el cubrimiento de los recursos adeudados al Fosyga o la entidad que haga sus veces si fuere el caso y los recursos relacionados con los mecánicos de redistribución de riesgo: </w:t>
      </w:r>
    </w:p>
    <w:p w14:paraId="3DACCFDF" w14:textId="445973E7" w:rsidR="009D263D" w:rsidRPr="009D263D" w:rsidRDefault="009D263D" w:rsidP="009D263D">
      <w:pPr>
        <w:pStyle w:val="Textonotapie"/>
        <w:ind w:left="-567" w:right="-376"/>
        <w:jc w:val="both"/>
        <w:rPr>
          <w:rFonts w:asciiTheme="minorHAnsi" w:hAnsiTheme="minorHAnsi" w:cstheme="minorHAnsi"/>
          <w:i/>
          <w:iCs/>
          <w:sz w:val="14"/>
          <w:szCs w:val="14"/>
        </w:rPr>
      </w:pPr>
      <w:r w:rsidRPr="009D263D">
        <w:rPr>
          <w:rFonts w:asciiTheme="minorHAnsi" w:hAnsiTheme="minorHAnsi" w:cstheme="minorHAnsi"/>
          <w:i/>
          <w:iCs/>
          <w:sz w:val="14"/>
          <w:szCs w:val="14"/>
        </w:rPr>
        <w:t>a)</w:t>
      </w:r>
      <w:r w:rsidR="005C2A01">
        <w:rPr>
          <w:rFonts w:asciiTheme="minorHAnsi" w:hAnsiTheme="minorHAnsi" w:cstheme="minorHAnsi"/>
          <w:i/>
          <w:iCs/>
          <w:sz w:val="14"/>
          <w:szCs w:val="14"/>
        </w:rPr>
        <w:t xml:space="preserve"> </w:t>
      </w:r>
      <w:r w:rsidRPr="009D263D">
        <w:rPr>
          <w:rFonts w:asciiTheme="minorHAnsi" w:hAnsiTheme="minorHAnsi" w:cstheme="minorHAnsi"/>
          <w:i/>
          <w:iCs/>
          <w:sz w:val="14"/>
          <w:szCs w:val="14"/>
        </w:rPr>
        <w:t xml:space="preserve">Deudas laborales;  </w:t>
      </w:r>
    </w:p>
    <w:p w14:paraId="29AF82DE" w14:textId="072BF60D" w:rsidR="009D263D" w:rsidRPr="009D263D" w:rsidRDefault="009D263D" w:rsidP="009D263D">
      <w:pPr>
        <w:pStyle w:val="Textonotapie"/>
        <w:ind w:left="-567" w:right="-376"/>
        <w:jc w:val="both"/>
        <w:rPr>
          <w:rFonts w:asciiTheme="minorHAnsi" w:hAnsiTheme="minorHAnsi" w:cstheme="minorHAnsi"/>
          <w:i/>
          <w:iCs/>
          <w:sz w:val="14"/>
          <w:szCs w:val="14"/>
        </w:rPr>
      </w:pPr>
      <w:r w:rsidRPr="009D263D">
        <w:rPr>
          <w:rFonts w:asciiTheme="minorHAnsi" w:hAnsiTheme="minorHAnsi" w:cstheme="minorHAnsi"/>
          <w:i/>
          <w:iCs/>
          <w:sz w:val="14"/>
          <w:szCs w:val="14"/>
        </w:rPr>
        <w:t>b)</w:t>
      </w:r>
      <w:r w:rsidR="005C2A01">
        <w:rPr>
          <w:rFonts w:asciiTheme="minorHAnsi" w:hAnsiTheme="minorHAnsi" w:cstheme="minorHAnsi"/>
          <w:i/>
          <w:iCs/>
          <w:sz w:val="14"/>
          <w:szCs w:val="14"/>
        </w:rPr>
        <w:t xml:space="preserve"> </w:t>
      </w:r>
      <w:r w:rsidRPr="009D263D">
        <w:rPr>
          <w:rFonts w:asciiTheme="minorHAnsi" w:hAnsiTheme="minorHAnsi" w:cstheme="minorHAnsi"/>
          <w:i/>
          <w:iCs/>
          <w:sz w:val="14"/>
          <w:szCs w:val="14"/>
        </w:rPr>
        <w:t xml:space="preserve">Deudas reconocidas a Instituciones Prestadoras de Servicios de Salud. En </w:t>
      </w:r>
      <w:proofErr w:type="spellStart"/>
      <w:r w:rsidRPr="009D263D">
        <w:rPr>
          <w:rFonts w:asciiTheme="minorHAnsi" w:hAnsiTheme="minorHAnsi" w:cstheme="minorHAnsi"/>
          <w:i/>
          <w:iCs/>
          <w:sz w:val="14"/>
          <w:szCs w:val="14"/>
        </w:rPr>
        <w:t>es</w:t>
      </w:r>
      <w:proofErr w:type="spellEnd"/>
      <w:r w:rsidRPr="009D263D">
        <w:rPr>
          <w:rFonts w:asciiTheme="minorHAnsi" w:hAnsiTheme="minorHAnsi" w:cstheme="minorHAnsi"/>
          <w:i/>
          <w:iCs/>
          <w:sz w:val="14"/>
          <w:szCs w:val="14"/>
        </w:rPr>
        <w:t xml:space="preserve">-tas deudas se incluirán los </w:t>
      </w:r>
      <w:proofErr w:type="gramStart"/>
      <w:r w:rsidRPr="009D263D">
        <w:rPr>
          <w:rFonts w:asciiTheme="minorHAnsi" w:hAnsiTheme="minorHAnsi" w:cstheme="minorHAnsi"/>
          <w:i/>
          <w:iCs/>
          <w:sz w:val="14"/>
          <w:szCs w:val="14"/>
        </w:rPr>
        <w:t>servicios prestados o tecnologías prestadas</w:t>
      </w:r>
      <w:proofErr w:type="gramEnd"/>
      <w:r w:rsidRPr="009D263D">
        <w:rPr>
          <w:rFonts w:asciiTheme="minorHAnsi" w:hAnsiTheme="minorHAnsi" w:cstheme="minorHAnsi"/>
          <w:i/>
          <w:iCs/>
          <w:sz w:val="14"/>
          <w:szCs w:val="14"/>
        </w:rPr>
        <w:t xml:space="preserve"> por urgencias, así no medie contrato. En estos casos la liquidación debe desarrollar la auditoría y revisión de cuentas para su reconocimiento en lo pertinente.  c) Deudas de impuestos nacionales y municipales;  </w:t>
      </w:r>
    </w:p>
    <w:p w14:paraId="4D3C44DB" w14:textId="3B6F32BC" w:rsidR="009D263D" w:rsidRPr="009D263D" w:rsidRDefault="009D263D" w:rsidP="009D263D">
      <w:pPr>
        <w:pStyle w:val="Textonotapie"/>
        <w:ind w:left="-567" w:right="-376"/>
        <w:jc w:val="both"/>
        <w:rPr>
          <w:rFonts w:asciiTheme="minorHAnsi" w:hAnsiTheme="minorHAnsi" w:cstheme="minorHAnsi"/>
          <w:i/>
          <w:iCs/>
          <w:sz w:val="14"/>
          <w:szCs w:val="14"/>
        </w:rPr>
      </w:pPr>
      <w:r w:rsidRPr="009D263D">
        <w:rPr>
          <w:rFonts w:asciiTheme="minorHAnsi" w:hAnsiTheme="minorHAnsi" w:cstheme="minorHAnsi"/>
          <w:i/>
          <w:iCs/>
          <w:sz w:val="14"/>
          <w:szCs w:val="14"/>
        </w:rPr>
        <w:t>d)</w:t>
      </w:r>
      <w:r w:rsidR="005C2A01">
        <w:rPr>
          <w:rFonts w:asciiTheme="minorHAnsi" w:hAnsiTheme="minorHAnsi" w:cstheme="minorHAnsi"/>
          <w:i/>
          <w:iCs/>
          <w:sz w:val="14"/>
          <w:szCs w:val="14"/>
        </w:rPr>
        <w:t xml:space="preserve"> </w:t>
      </w:r>
      <w:r w:rsidRPr="009D263D">
        <w:rPr>
          <w:rFonts w:asciiTheme="minorHAnsi" w:hAnsiTheme="minorHAnsi" w:cstheme="minorHAnsi"/>
          <w:i/>
          <w:iCs/>
          <w:sz w:val="14"/>
          <w:szCs w:val="14"/>
        </w:rPr>
        <w:t xml:space="preserve">Deudas con garantía prendaria o hipotecaria, y  </w:t>
      </w:r>
    </w:p>
    <w:p w14:paraId="1D25B83C" w14:textId="20887B37" w:rsidR="009D263D" w:rsidRPr="009D263D" w:rsidRDefault="009D263D" w:rsidP="009D263D">
      <w:pPr>
        <w:pStyle w:val="Textonotapie"/>
        <w:ind w:left="-567" w:right="-376"/>
        <w:jc w:val="both"/>
        <w:rPr>
          <w:rFonts w:asciiTheme="minorHAnsi" w:hAnsiTheme="minorHAnsi" w:cstheme="minorHAnsi"/>
          <w:i/>
          <w:iCs/>
          <w:sz w:val="14"/>
          <w:szCs w:val="14"/>
        </w:rPr>
      </w:pPr>
      <w:r w:rsidRPr="009D263D">
        <w:rPr>
          <w:rFonts w:asciiTheme="minorHAnsi" w:hAnsiTheme="minorHAnsi" w:cstheme="minorHAnsi"/>
          <w:i/>
          <w:iCs/>
          <w:sz w:val="14"/>
          <w:szCs w:val="14"/>
        </w:rPr>
        <w:t>e)</w:t>
      </w:r>
      <w:r w:rsidR="005C2A01">
        <w:rPr>
          <w:rFonts w:asciiTheme="minorHAnsi" w:hAnsiTheme="minorHAnsi" w:cstheme="minorHAnsi"/>
          <w:i/>
          <w:iCs/>
          <w:sz w:val="14"/>
          <w:szCs w:val="14"/>
        </w:rPr>
        <w:t xml:space="preserve"> </w:t>
      </w:r>
      <w:r w:rsidRPr="009D263D">
        <w:rPr>
          <w:rFonts w:asciiTheme="minorHAnsi" w:hAnsiTheme="minorHAnsi" w:cstheme="minorHAnsi"/>
          <w:i/>
          <w:iCs/>
          <w:sz w:val="14"/>
          <w:szCs w:val="14"/>
        </w:rPr>
        <w:t>Deuda quirografaria</w:t>
      </w:r>
      <w:proofErr w:type="gramStart"/>
      <w:r w:rsidRPr="009D263D">
        <w:rPr>
          <w:rFonts w:asciiTheme="minorHAnsi" w:hAnsiTheme="minorHAnsi" w:cstheme="minorHAnsi"/>
          <w:i/>
          <w:iCs/>
          <w:sz w:val="14"/>
          <w:szCs w:val="14"/>
        </w:rPr>
        <w:t>.”(</w:t>
      </w:r>
      <w:proofErr w:type="gramEnd"/>
      <w:r w:rsidRPr="009D263D">
        <w:rPr>
          <w:rFonts w:asciiTheme="minorHAnsi" w:hAnsiTheme="minorHAnsi" w:cstheme="minorHAnsi"/>
          <w:i/>
          <w:iCs/>
          <w:sz w:val="14"/>
          <w:szCs w:val="14"/>
        </w:rPr>
        <w:t>Negrilla fuera de texto)</w:t>
      </w:r>
    </w:p>
  </w:footnote>
  <w:footnote w:id="9">
    <w:p w14:paraId="34294016" w14:textId="77777777" w:rsidR="009D263D" w:rsidRPr="009D263D" w:rsidRDefault="009D263D" w:rsidP="009D263D">
      <w:pPr>
        <w:spacing w:after="41" w:line="250" w:lineRule="auto"/>
        <w:ind w:left="-567" w:right="-376"/>
        <w:jc w:val="both"/>
        <w:rPr>
          <w:rFonts w:asciiTheme="minorHAnsi" w:hAnsiTheme="minorHAnsi" w:cstheme="minorHAnsi"/>
          <w:i/>
          <w:iCs/>
          <w:sz w:val="14"/>
          <w:szCs w:val="14"/>
        </w:rPr>
      </w:pPr>
      <w:r w:rsidRPr="009D263D">
        <w:rPr>
          <w:rFonts w:asciiTheme="minorHAnsi" w:hAnsiTheme="minorHAnsi" w:cstheme="minorHAnsi"/>
          <w:i/>
          <w:iCs/>
          <w:sz w:val="14"/>
          <w:szCs w:val="14"/>
        </w:rPr>
        <w:footnoteRef/>
      </w:r>
      <w:r w:rsidRPr="009D263D">
        <w:rPr>
          <w:rFonts w:asciiTheme="minorHAnsi" w:hAnsiTheme="minorHAnsi" w:cstheme="minorHAnsi"/>
          <w:i/>
          <w:iCs/>
          <w:sz w:val="14"/>
          <w:szCs w:val="14"/>
        </w:rPr>
        <w:t xml:space="preserve"> </w:t>
      </w:r>
      <w:r w:rsidRPr="009D263D">
        <w:rPr>
          <w:rFonts w:asciiTheme="minorHAnsi" w:eastAsia="Times New Roman" w:hAnsiTheme="minorHAnsi" w:cstheme="minorHAnsi"/>
          <w:i/>
          <w:iCs/>
          <w:sz w:val="14"/>
          <w:szCs w:val="14"/>
        </w:rPr>
        <w:t xml:space="preserve">“Por la cual se establecen las condiciones que las entidades promotoras de salud (EPS), las entidades obligadas a compensar (EOC) y las cajas de compensación familiar (CCF) que administran el régimen subsidiado, e instituciones prestadoras de servicios de salud (IPS) que se encuentren en proceso de liquidación, deben cumplir para adelantar y culminar los asuntos pendientes ante el Fosyga o quien haga sus veces” </w:t>
      </w:r>
    </w:p>
  </w:footnote>
  <w:footnote w:id="10">
    <w:p w14:paraId="2D8C5653" w14:textId="77777777" w:rsidR="009D263D" w:rsidRDefault="009D263D" w:rsidP="009D263D">
      <w:pPr>
        <w:spacing w:line="252" w:lineRule="auto"/>
        <w:ind w:left="-567" w:right="-376"/>
        <w:jc w:val="both"/>
      </w:pPr>
      <w:r w:rsidRPr="009D263D">
        <w:rPr>
          <w:rFonts w:asciiTheme="minorHAnsi" w:hAnsiTheme="minorHAnsi" w:cstheme="minorHAnsi"/>
          <w:i/>
          <w:iCs/>
          <w:sz w:val="14"/>
          <w:szCs w:val="14"/>
        </w:rPr>
        <w:footnoteRef/>
      </w:r>
      <w:r w:rsidRPr="009D263D">
        <w:rPr>
          <w:rFonts w:asciiTheme="minorHAnsi" w:hAnsiTheme="minorHAnsi" w:cstheme="minorHAnsi"/>
          <w:i/>
          <w:iCs/>
          <w:sz w:val="14"/>
          <w:szCs w:val="14"/>
        </w:rPr>
        <w:t xml:space="preserve"> Entidades Promotoras de Salud (EPS) de los regímenes contributivo y subsidiado, las Entidades Obligadas a Compensar (EOC) y las Cajas de Compensación Familiar (CCF) que administran el régimen subsidiado, cualquiera sea su naturaleza jurídica, e instituciones prestadoras de servicios de salud (IPS), que se encuentren en proceso de liquidación, que se liquiden voluntariamente o sean sujeto de intervención forzosa administrativa para liquidar por parte de la Superintendencia Nacional de Salud.</w:t>
      </w:r>
      <w:r>
        <w:rPr>
          <w:rFonts w:ascii="Times New Roman" w:eastAsia="Times New Roman" w:hAnsi="Times New Roman" w:cs="Times New Roman"/>
          <w:sz w:val="24"/>
        </w:rPr>
        <w:t xml:space="preserve"> </w:t>
      </w:r>
    </w:p>
  </w:footnote>
  <w:footnote w:id="11">
    <w:p w14:paraId="65D3DEA2" w14:textId="1121AF5B" w:rsidR="00B4727F" w:rsidRPr="00B4727F" w:rsidRDefault="00B4727F" w:rsidP="00B4727F">
      <w:pPr>
        <w:pStyle w:val="Textonotapie"/>
        <w:ind w:left="-426" w:right="-376"/>
        <w:rPr>
          <w:rFonts w:asciiTheme="minorHAnsi" w:hAnsiTheme="minorHAnsi" w:cstheme="minorHAnsi"/>
          <w:sz w:val="14"/>
          <w:szCs w:val="14"/>
        </w:rPr>
      </w:pPr>
      <w:r w:rsidRPr="00B4727F">
        <w:rPr>
          <w:rStyle w:val="Refdenotaalpie"/>
          <w:rFonts w:asciiTheme="minorHAnsi" w:hAnsiTheme="minorHAnsi" w:cstheme="minorHAnsi"/>
          <w:sz w:val="14"/>
          <w:szCs w:val="14"/>
        </w:rPr>
        <w:footnoteRef/>
      </w:r>
      <w:r w:rsidRPr="00B4727F">
        <w:rPr>
          <w:rFonts w:asciiTheme="minorHAnsi" w:hAnsiTheme="minorHAnsi" w:cstheme="minorHAnsi"/>
          <w:sz w:val="14"/>
          <w:szCs w:val="14"/>
        </w:rPr>
        <w:t xml:space="preserve"> </w:t>
      </w:r>
      <w:r w:rsidRPr="00B4727F">
        <w:rPr>
          <w:rFonts w:asciiTheme="minorHAnsi" w:hAnsiTheme="minorHAnsi" w:cstheme="minorHAnsi"/>
          <w:sz w:val="14"/>
          <w:szCs w:val="14"/>
        </w:rPr>
        <w:t>Diccionario de la Lengua Española</w:t>
      </w:r>
    </w:p>
  </w:footnote>
  <w:footnote w:id="12">
    <w:p w14:paraId="5C8F2280" w14:textId="70E77ADF" w:rsidR="007E1B5A" w:rsidRPr="00B4727F" w:rsidRDefault="007E1B5A" w:rsidP="00B4727F">
      <w:pPr>
        <w:pStyle w:val="Textonotapie"/>
        <w:ind w:left="-426" w:right="-376"/>
        <w:jc w:val="both"/>
        <w:rPr>
          <w:rFonts w:asciiTheme="minorHAnsi" w:hAnsiTheme="minorHAnsi" w:cstheme="minorHAnsi"/>
          <w:sz w:val="14"/>
          <w:szCs w:val="14"/>
          <w:lang w:bidi="es-ES"/>
        </w:rPr>
      </w:pPr>
      <w:r w:rsidRPr="00B4727F">
        <w:rPr>
          <w:rStyle w:val="Refdenotaalpie"/>
          <w:rFonts w:asciiTheme="minorHAnsi" w:hAnsiTheme="minorHAnsi" w:cstheme="minorHAnsi"/>
          <w:sz w:val="14"/>
          <w:szCs w:val="14"/>
        </w:rPr>
        <w:footnoteRef/>
      </w:r>
      <w:r w:rsidRPr="00B4727F">
        <w:rPr>
          <w:rFonts w:asciiTheme="minorHAnsi" w:hAnsiTheme="minorHAnsi" w:cstheme="minorHAnsi"/>
          <w:sz w:val="14"/>
          <w:szCs w:val="14"/>
        </w:rPr>
        <w:t xml:space="preserve"> </w:t>
      </w:r>
      <w:r w:rsidR="00B4727F" w:rsidRPr="00B4727F">
        <w:rPr>
          <w:rFonts w:asciiTheme="minorHAnsi" w:hAnsiTheme="minorHAnsi" w:cstheme="minorHAnsi"/>
          <w:sz w:val="14"/>
          <w:szCs w:val="14"/>
          <w:lang w:bidi="es-ES"/>
        </w:rPr>
        <w:t xml:space="preserve">Consejo de Estado. Sala de lo Contencioso Administrativo. Sección Tercera. Sentencia del 08 de marzo de 2007. </w:t>
      </w:r>
      <w:proofErr w:type="spellStart"/>
      <w:r w:rsidR="00B4727F" w:rsidRPr="00B4727F">
        <w:rPr>
          <w:rFonts w:asciiTheme="minorHAnsi" w:hAnsiTheme="minorHAnsi" w:cstheme="minorHAnsi"/>
          <w:sz w:val="14"/>
          <w:szCs w:val="14"/>
          <w:lang w:bidi="es-ES"/>
        </w:rPr>
        <w:t>Exp</w:t>
      </w:r>
      <w:proofErr w:type="spellEnd"/>
      <w:r w:rsidR="00B4727F" w:rsidRPr="00B4727F">
        <w:rPr>
          <w:rFonts w:asciiTheme="minorHAnsi" w:hAnsiTheme="minorHAnsi" w:cstheme="minorHAnsi"/>
          <w:sz w:val="14"/>
          <w:szCs w:val="14"/>
          <w:lang w:bidi="es-ES"/>
        </w:rPr>
        <w:t>.</w:t>
      </w:r>
      <w:r w:rsidR="00B4727F" w:rsidRPr="00B4727F">
        <w:rPr>
          <w:rFonts w:asciiTheme="minorHAnsi" w:hAnsiTheme="minorHAnsi" w:cstheme="minorHAnsi"/>
          <w:sz w:val="14"/>
          <w:szCs w:val="14"/>
          <w:lang w:bidi="es-ES"/>
        </w:rPr>
        <w:t xml:space="preserve"> </w:t>
      </w:r>
      <w:r w:rsidR="00B4727F" w:rsidRPr="00B4727F">
        <w:rPr>
          <w:rFonts w:asciiTheme="minorHAnsi" w:hAnsiTheme="minorHAnsi" w:cstheme="minorHAnsi"/>
          <w:sz w:val="14"/>
          <w:szCs w:val="14"/>
          <w:lang w:bidi="es-ES"/>
        </w:rPr>
        <w:t>5071. M.P. Ramiro Saavedra Becerra</w:t>
      </w:r>
    </w:p>
  </w:footnote>
  <w:footnote w:id="13">
    <w:p w14:paraId="18FE3D0C" w14:textId="77777777" w:rsidR="009D263D" w:rsidRPr="00B4727F" w:rsidRDefault="009D263D" w:rsidP="00B4727F">
      <w:pPr>
        <w:spacing w:line="264" w:lineRule="auto"/>
        <w:ind w:left="-426" w:right="-376"/>
        <w:jc w:val="both"/>
        <w:rPr>
          <w:rFonts w:asciiTheme="minorHAnsi" w:hAnsiTheme="minorHAnsi" w:cstheme="minorHAnsi"/>
          <w:sz w:val="14"/>
          <w:szCs w:val="14"/>
        </w:rPr>
      </w:pPr>
      <w:r w:rsidRPr="00B4727F">
        <w:rPr>
          <w:rFonts w:asciiTheme="minorHAnsi" w:hAnsiTheme="minorHAnsi" w:cstheme="minorHAnsi"/>
          <w:sz w:val="14"/>
          <w:szCs w:val="14"/>
        </w:rPr>
        <w:footnoteRef/>
      </w:r>
      <w:r w:rsidRPr="00B4727F">
        <w:rPr>
          <w:rFonts w:asciiTheme="minorHAnsi" w:hAnsiTheme="minorHAnsi" w:cstheme="minorHAnsi"/>
          <w:sz w:val="14"/>
          <w:szCs w:val="14"/>
        </w:rPr>
        <w:t xml:space="preserve"> CONSEJO DE ESTADO, SALA DE LO CONTENCIOSO ADMINISTRATIVO, SECCION PRIMERA. Consejero ponente: GUILLERMO VARGAS AYALA. Bogotá, D.C., veintiocho (28) de enero de dos mil dieciséis (2016). Radicación número: 68001-23-33-000-2015-00041-01. Actor: MINISTERIO DE SALUD Y PROTECCIÓN </w:t>
      </w:r>
    </w:p>
    <w:p w14:paraId="6C78AF94" w14:textId="77777777" w:rsidR="009D263D" w:rsidRDefault="009D263D" w:rsidP="00B4727F">
      <w:pPr>
        <w:ind w:left="-426" w:right="-376"/>
        <w:jc w:val="both"/>
      </w:pPr>
      <w:r w:rsidRPr="00B4727F">
        <w:rPr>
          <w:rFonts w:asciiTheme="minorHAnsi" w:hAnsiTheme="minorHAnsi" w:cstheme="minorHAnsi"/>
          <w:sz w:val="14"/>
          <w:szCs w:val="14"/>
        </w:rPr>
        <w:t>SOCIAL. Demandado: SOLSALUD EPS. S.A. EN LIQUIDACIÓN (EN ADELANTE SOLSALUD)</w:t>
      </w:r>
      <w:r>
        <w:rPr>
          <w:sz w:val="18"/>
        </w:rPr>
        <w:t xml:space="preserve"> </w:t>
      </w:r>
    </w:p>
  </w:footnote>
  <w:footnote w:id="14">
    <w:p w14:paraId="6CF49FC6" w14:textId="4FB0C7C1" w:rsidR="009D263D" w:rsidRPr="003737D7" w:rsidRDefault="009D263D" w:rsidP="003737D7">
      <w:pPr>
        <w:spacing w:line="250" w:lineRule="auto"/>
        <w:ind w:left="-426" w:right="-376"/>
        <w:jc w:val="both"/>
        <w:rPr>
          <w:rFonts w:asciiTheme="minorHAnsi" w:hAnsiTheme="minorHAnsi" w:cstheme="minorHAnsi"/>
          <w:sz w:val="14"/>
          <w:szCs w:val="14"/>
        </w:rPr>
      </w:pPr>
      <w:r w:rsidRPr="003737D7">
        <w:rPr>
          <w:rFonts w:asciiTheme="minorHAnsi" w:hAnsiTheme="minorHAnsi" w:cstheme="minorHAnsi"/>
          <w:sz w:val="14"/>
          <w:szCs w:val="14"/>
        </w:rPr>
        <w:footnoteRef/>
      </w:r>
      <w:r w:rsidRPr="003737D7">
        <w:rPr>
          <w:rFonts w:asciiTheme="minorHAnsi" w:hAnsiTheme="minorHAnsi" w:cstheme="minorHAnsi"/>
          <w:sz w:val="14"/>
          <w:szCs w:val="14"/>
        </w:rPr>
        <w:t xml:space="preserve"> CONSEJO DE ESTADO SALA DE LO CONTENCIOSO ADMINISTRATIVO SECCIÓN PRIMERA </w:t>
      </w:r>
      <w:r w:rsidR="003737D7">
        <w:rPr>
          <w:rFonts w:asciiTheme="minorHAnsi" w:hAnsiTheme="minorHAnsi" w:cstheme="minorHAnsi"/>
          <w:sz w:val="14"/>
          <w:szCs w:val="14"/>
        </w:rPr>
        <w:t xml:space="preserve">- </w:t>
      </w:r>
      <w:proofErr w:type="gramStart"/>
      <w:r w:rsidRPr="003737D7">
        <w:rPr>
          <w:rFonts w:asciiTheme="minorHAnsi" w:hAnsiTheme="minorHAnsi" w:cstheme="minorHAnsi"/>
          <w:sz w:val="14"/>
          <w:szCs w:val="14"/>
        </w:rPr>
        <w:t>Consejero</w:t>
      </w:r>
      <w:proofErr w:type="gramEnd"/>
      <w:r w:rsidRPr="003737D7">
        <w:rPr>
          <w:rFonts w:asciiTheme="minorHAnsi" w:hAnsiTheme="minorHAnsi" w:cstheme="minorHAnsi"/>
          <w:sz w:val="14"/>
          <w:szCs w:val="14"/>
        </w:rPr>
        <w:t xml:space="preserve"> ponente: ROBERTO AUGUSTO SERRATO VALDÉS Bogotá, D.C., veinticinco (25) enero de dos mil dieciocho (2018) Radicación número: 68001-23-33-000-2015-00181-01 Actor: FUNDACIÓN CARDIOVASCULAR DEL ORIENTE COLOMBIANO Demandado: SOLSALUD E.P.S. S.A. LIQUIDADA Y SUPERINTENDENCIA NACIONAL DE SALUD.</w:t>
      </w:r>
      <w:r w:rsidRPr="003737D7">
        <w:rPr>
          <w:rFonts w:asciiTheme="minorHAnsi" w:eastAsia="Calibri" w:hAnsiTheme="minorHAnsi" w:cstheme="minorHAnsi"/>
          <w:sz w:val="14"/>
          <w:szCs w:val="14"/>
        </w:rPr>
        <w:t xml:space="preserve"> </w:t>
      </w:r>
    </w:p>
  </w:footnote>
  <w:footnote w:id="15">
    <w:p w14:paraId="4A9DC593" w14:textId="77777777" w:rsidR="009C2E43" w:rsidRPr="009D263D" w:rsidRDefault="009C2E43" w:rsidP="009C2E43">
      <w:pPr>
        <w:ind w:left="-567" w:right="567"/>
        <w:jc w:val="both"/>
        <w:rPr>
          <w:rFonts w:asciiTheme="minorHAnsi" w:hAnsiTheme="minorHAnsi" w:cstheme="minorHAnsi"/>
          <w:bCs/>
          <w:color w:val="000000" w:themeColor="text1"/>
          <w:sz w:val="14"/>
          <w:szCs w:val="14"/>
          <w:lang w:val="es-CO"/>
        </w:rPr>
      </w:pPr>
      <w:r w:rsidRPr="009C2E43">
        <w:rPr>
          <w:rStyle w:val="Refdenotaalpie"/>
          <w:rFonts w:asciiTheme="minorHAnsi" w:hAnsiTheme="minorHAnsi" w:cstheme="minorHAnsi"/>
          <w:sz w:val="14"/>
          <w:szCs w:val="14"/>
        </w:rPr>
        <w:footnoteRef/>
      </w:r>
      <w:r w:rsidRPr="009C2E43">
        <w:rPr>
          <w:rFonts w:asciiTheme="minorHAnsi" w:hAnsiTheme="minorHAnsi" w:cstheme="minorHAnsi"/>
          <w:sz w:val="14"/>
          <w:szCs w:val="14"/>
        </w:rPr>
        <w:t xml:space="preserve"> </w:t>
      </w:r>
      <w:r w:rsidRPr="009D263D">
        <w:rPr>
          <w:rFonts w:asciiTheme="minorHAnsi" w:hAnsiTheme="minorHAnsi" w:cstheme="minorHAnsi"/>
          <w:bCs/>
          <w:color w:val="000000" w:themeColor="text1"/>
          <w:sz w:val="14"/>
          <w:szCs w:val="14"/>
          <w:lang w:val="es-CO"/>
        </w:rPr>
        <w:t xml:space="preserve">García de Enterría Eduardo. Curso de Derecho Administrativo I, </w:t>
      </w:r>
      <w:proofErr w:type="spellStart"/>
      <w:r w:rsidRPr="009D263D">
        <w:rPr>
          <w:rFonts w:asciiTheme="minorHAnsi" w:hAnsiTheme="minorHAnsi" w:cstheme="minorHAnsi"/>
          <w:bCs/>
          <w:color w:val="000000" w:themeColor="text1"/>
          <w:sz w:val="14"/>
          <w:szCs w:val="14"/>
          <w:lang w:val="es-CO"/>
        </w:rPr>
        <w:t>Civitas</w:t>
      </w:r>
      <w:proofErr w:type="spellEnd"/>
      <w:r w:rsidRPr="009D263D">
        <w:rPr>
          <w:rFonts w:asciiTheme="minorHAnsi" w:hAnsiTheme="minorHAnsi" w:cstheme="minorHAnsi"/>
          <w:bCs/>
          <w:color w:val="000000" w:themeColor="text1"/>
          <w:sz w:val="14"/>
          <w:szCs w:val="14"/>
          <w:lang w:val="es-CO"/>
        </w:rPr>
        <w:t xml:space="preserve">, 2014, p. 485. </w:t>
      </w:r>
    </w:p>
    <w:p w14:paraId="4FAB5B90" w14:textId="21B183DA" w:rsidR="009C2E43" w:rsidRDefault="009C2E43">
      <w:pPr>
        <w:pStyle w:val="Textonotapie"/>
      </w:pPr>
    </w:p>
  </w:footnote>
  <w:footnote w:id="16">
    <w:p w14:paraId="7FA2550E" w14:textId="45348DDC" w:rsidR="009D263D" w:rsidRPr="00203CA9" w:rsidRDefault="009D263D" w:rsidP="00203CA9">
      <w:pPr>
        <w:spacing w:line="278" w:lineRule="auto"/>
        <w:ind w:left="-426" w:right="-376"/>
        <w:jc w:val="both"/>
        <w:rPr>
          <w:rFonts w:asciiTheme="minorHAnsi" w:hAnsiTheme="minorHAnsi" w:cstheme="minorHAnsi"/>
          <w:i/>
          <w:iCs/>
          <w:sz w:val="14"/>
          <w:szCs w:val="14"/>
        </w:rPr>
      </w:pPr>
      <w:r w:rsidRPr="00203CA9">
        <w:rPr>
          <w:rFonts w:asciiTheme="minorHAnsi" w:hAnsiTheme="minorHAnsi" w:cstheme="minorHAnsi"/>
          <w:i/>
          <w:iCs/>
          <w:sz w:val="14"/>
          <w:szCs w:val="14"/>
        </w:rPr>
        <w:footnoteRef/>
      </w:r>
      <w:r w:rsidRPr="00203CA9">
        <w:rPr>
          <w:rFonts w:asciiTheme="minorHAnsi" w:eastAsia="Calibri" w:hAnsiTheme="minorHAnsi" w:cstheme="minorHAnsi"/>
          <w:i/>
          <w:iCs/>
          <w:sz w:val="14"/>
          <w:szCs w:val="14"/>
        </w:rPr>
        <w:t>“</w:t>
      </w:r>
      <w:r w:rsidRPr="00203CA9">
        <w:rPr>
          <w:rFonts w:asciiTheme="minorHAnsi" w:hAnsiTheme="minorHAnsi" w:cstheme="minorHAnsi"/>
          <w:i/>
          <w:iCs/>
          <w:sz w:val="14"/>
          <w:szCs w:val="14"/>
        </w:rPr>
        <w:t>Por el cual se expiden las normas que regulan los flujos de caja y la utilización oportuna y eficiente de los recursos del sector salud y su utilización en la prestación”</w:t>
      </w:r>
      <w:r w:rsidRPr="00203CA9">
        <w:rPr>
          <w:rFonts w:asciiTheme="minorHAnsi" w:eastAsia="Calibri" w:hAnsiTheme="minorHAnsi" w:cstheme="minorHAnsi"/>
          <w:i/>
          <w:iCs/>
          <w:sz w:val="14"/>
          <w:szCs w:val="14"/>
        </w:rPr>
        <w:t xml:space="preserve"> </w:t>
      </w:r>
    </w:p>
  </w:footnote>
  <w:footnote w:id="17">
    <w:p w14:paraId="11A5EA1B" w14:textId="77777777" w:rsidR="009D263D" w:rsidRPr="00203CA9" w:rsidRDefault="009D263D" w:rsidP="00203CA9">
      <w:pPr>
        <w:ind w:left="-567" w:right="-376"/>
        <w:rPr>
          <w:rFonts w:asciiTheme="minorHAnsi" w:hAnsiTheme="minorHAnsi" w:cstheme="minorHAnsi"/>
          <w:sz w:val="14"/>
          <w:szCs w:val="14"/>
        </w:rPr>
      </w:pPr>
      <w:r w:rsidRPr="00203CA9">
        <w:rPr>
          <w:rFonts w:asciiTheme="minorHAnsi" w:hAnsiTheme="minorHAnsi" w:cstheme="minorHAnsi"/>
          <w:sz w:val="14"/>
          <w:szCs w:val="14"/>
        </w:rPr>
        <w:footnoteRef/>
      </w:r>
      <w:r w:rsidRPr="00203CA9">
        <w:rPr>
          <w:rFonts w:asciiTheme="minorHAnsi" w:hAnsiTheme="minorHAnsi" w:cstheme="minorHAnsi"/>
          <w:sz w:val="14"/>
          <w:szCs w:val="14"/>
        </w:rPr>
        <w:t xml:space="preserve"> Corte Constitucional, Sentencia T-007 de 2013</w:t>
      </w:r>
      <w:r w:rsidRPr="00203CA9">
        <w:rPr>
          <w:rFonts w:asciiTheme="minorHAnsi" w:eastAsia="Calibri" w:hAnsiTheme="minorHAnsi" w:cstheme="minorHAnsi"/>
          <w:sz w:val="14"/>
          <w:szCs w:val="14"/>
        </w:rPr>
        <w:t xml:space="preserve"> </w:t>
      </w:r>
    </w:p>
  </w:footnote>
  <w:footnote w:id="18">
    <w:p w14:paraId="2512D691" w14:textId="77777777" w:rsidR="009D263D" w:rsidRPr="00200C52" w:rsidRDefault="009D263D" w:rsidP="00200C52">
      <w:pPr>
        <w:spacing w:after="12"/>
        <w:ind w:left="-426" w:right="-376" w:hanging="141"/>
        <w:jc w:val="both"/>
        <w:rPr>
          <w:rFonts w:asciiTheme="minorHAnsi" w:hAnsiTheme="minorHAnsi" w:cstheme="minorHAnsi"/>
          <w:sz w:val="14"/>
          <w:szCs w:val="14"/>
        </w:rPr>
      </w:pPr>
      <w:r w:rsidRPr="00200C52">
        <w:rPr>
          <w:rFonts w:asciiTheme="minorHAnsi" w:hAnsiTheme="minorHAnsi" w:cstheme="minorHAnsi"/>
          <w:sz w:val="14"/>
          <w:szCs w:val="14"/>
        </w:rPr>
        <w:footnoteRef/>
      </w:r>
      <w:r w:rsidRPr="00200C52">
        <w:rPr>
          <w:rFonts w:asciiTheme="minorHAnsi" w:hAnsiTheme="minorHAnsi" w:cstheme="minorHAnsi"/>
          <w:sz w:val="14"/>
          <w:szCs w:val="14"/>
        </w:rPr>
        <w:t xml:space="preserve"> Radicación número: 11001-03-27-000-2018 00006-00 (22326) del 26 de julio de 2017 / Actor: CAMILO ALBERTO RIAÑO </w:t>
      </w:r>
    </w:p>
    <w:p w14:paraId="5EBE3A76" w14:textId="77777777" w:rsidR="009D263D" w:rsidRDefault="009D263D" w:rsidP="00200C52">
      <w:pPr>
        <w:ind w:left="-426" w:right="-376" w:hanging="141"/>
      </w:pPr>
      <w:r w:rsidRPr="00200C52">
        <w:rPr>
          <w:rFonts w:asciiTheme="minorHAnsi" w:hAnsiTheme="minorHAnsi" w:cstheme="minorHAnsi"/>
          <w:sz w:val="14"/>
          <w:szCs w:val="14"/>
        </w:rPr>
        <w:t>ABAUNZA, Demandado: DIRECCIÓN DE IMPUESTOS Y ADUANAS NACIONALES - DIAN</w:t>
      </w:r>
      <w:r>
        <w:rPr>
          <w:rFonts w:ascii="Calibri" w:eastAsia="Calibri" w:hAnsi="Calibri" w:cs="Calibri"/>
          <w:sz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763D9" w14:textId="77777777" w:rsidR="0093378D" w:rsidRDefault="0093378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7689A" w14:textId="77777777" w:rsidR="00B57043" w:rsidRDefault="00B57043">
    <w:pPr>
      <w:pStyle w:val="Textoindependiente"/>
      <w:spacing w:before="0" w:line="14" w:lineRule="auto"/>
      <w:rPr>
        <w:b w:val="0"/>
        <w:sz w:val="20"/>
      </w:rPr>
    </w:pPr>
    <w:r>
      <w:rPr>
        <w:noProof/>
        <w:lang w:val="es-CO" w:eastAsia="es-CO" w:bidi="ar-SA"/>
      </w:rPr>
      <w:drawing>
        <wp:anchor distT="0" distB="0" distL="0" distR="0" simplePos="0" relativeHeight="251658240" behindDoc="1" locked="0" layoutInCell="1" allowOverlap="1" wp14:anchorId="79876DAB" wp14:editId="5B8730C8">
          <wp:simplePos x="0" y="0"/>
          <wp:positionH relativeFrom="margin">
            <wp:posOffset>-708660</wp:posOffset>
          </wp:positionH>
          <wp:positionV relativeFrom="topMargin">
            <wp:posOffset>175895</wp:posOffset>
          </wp:positionV>
          <wp:extent cx="6985000" cy="647700"/>
          <wp:effectExtent l="0" t="0" r="6350" b="0"/>
          <wp:wrapNone/>
          <wp:docPr id="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6985000" cy="64770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D5C1B" w14:textId="77777777" w:rsidR="0093378D" w:rsidRDefault="0093378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F3EA5"/>
    <w:multiLevelType w:val="hybridMultilevel"/>
    <w:tmpl w:val="0FA6B65C"/>
    <w:lvl w:ilvl="0" w:tplc="8762456E">
      <w:start w:val="1"/>
      <w:numFmt w:val="lowerLetter"/>
      <w:lvlText w:val="%1."/>
      <w:lvlJc w:val="left"/>
      <w:pPr>
        <w:ind w:left="715"/>
      </w:pPr>
      <w:rPr>
        <w:rFonts w:ascii="Arial Narrow" w:eastAsia="Century Gothic" w:hAnsi="Arial Narrow" w:cs="Century Gothic" w:hint="default"/>
        <w:b w:val="0"/>
        <w:i/>
        <w:iCs/>
        <w:strike w:val="0"/>
        <w:dstrike w:val="0"/>
        <w:color w:val="000000"/>
        <w:sz w:val="20"/>
        <w:szCs w:val="20"/>
        <w:u w:val="none" w:color="000000"/>
        <w:bdr w:val="none" w:sz="0" w:space="0" w:color="auto"/>
        <w:shd w:val="clear" w:color="auto" w:fill="auto"/>
        <w:vertAlign w:val="baseline"/>
      </w:rPr>
    </w:lvl>
    <w:lvl w:ilvl="1" w:tplc="621EA2D8">
      <w:start w:val="1"/>
      <w:numFmt w:val="lowerLetter"/>
      <w:lvlText w:val="%2"/>
      <w:lvlJc w:val="left"/>
      <w:pPr>
        <w:ind w:left="1788"/>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2" w:tplc="CAACCAB0">
      <w:start w:val="1"/>
      <w:numFmt w:val="lowerRoman"/>
      <w:lvlText w:val="%3"/>
      <w:lvlJc w:val="left"/>
      <w:pPr>
        <w:ind w:left="2508"/>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3" w:tplc="5B8EC84A">
      <w:start w:val="1"/>
      <w:numFmt w:val="decimal"/>
      <w:lvlText w:val="%4"/>
      <w:lvlJc w:val="left"/>
      <w:pPr>
        <w:ind w:left="3228"/>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4" w:tplc="4EA45780">
      <w:start w:val="1"/>
      <w:numFmt w:val="lowerLetter"/>
      <w:lvlText w:val="%5"/>
      <w:lvlJc w:val="left"/>
      <w:pPr>
        <w:ind w:left="3948"/>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5" w:tplc="5C6AC116">
      <w:start w:val="1"/>
      <w:numFmt w:val="lowerRoman"/>
      <w:lvlText w:val="%6"/>
      <w:lvlJc w:val="left"/>
      <w:pPr>
        <w:ind w:left="4668"/>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6" w:tplc="163C454E">
      <w:start w:val="1"/>
      <w:numFmt w:val="decimal"/>
      <w:lvlText w:val="%7"/>
      <w:lvlJc w:val="left"/>
      <w:pPr>
        <w:ind w:left="5388"/>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7" w:tplc="2736856E">
      <w:start w:val="1"/>
      <w:numFmt w:val="lowerLetter"/>
      <w:lvlText w:val="%8"/>
      <w:lvlJc w:val="left"/>
      <w:pPr>
        <w:ind w:left="6108"/>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8" w:tplc="75687A9E">
      <w:start w:val="1"/>
      <w:numFmt w:val="lowerRoman"/>
      <w:lvlText w:val="%9"/>
      <w:lvlJc w:val="left"/>
      <w:pPr>
        <w:ind w:left="6828"/>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abstractNum>
  <w:abstractNum w:abstractNumId="1" w15:restartNumberingAfterBreak="0">
    <w:nsid w:val="08B10F99"/>
    <w:multiLevelType w:val="hybridMultilevel"/>
    <w:tmpl w:val="09F0A816"/>
    <w:lvl w:ilvl="0" w:tplc="C5748534">
      <w:start w:val="1"/>
      <w:numFmt w:val="decimal"/>
      <w:lvlText w:val="%1."/>
      <w:lvlJc w:val="left"/>
      <w:pPr>
        <w:ind w:left="718"/>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1" w:tplc="864A2A96">
      <w:start w:val="1"/>
      <w:numFmt w:val="lowerLetter"/>
      <w:lvlText w:val="%2"/>
      <w:lvlJc w:val="left"/>
      <w:pPr>
        <w:ind w:left="108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2" w:tplc="2A8C9886">
      <w:start w:val="1"/>
      <w:numFmt w:val="lowerRoman"/>
      <w:lvlText w:val="%3"/>
      <w:lvlJc w:val="left"/>
      <w:pPr>
        <w:ind w:left="180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3" w:tplc="CAD63280">
      <w:start w:val="1"/>
      <w:numFmt w:val="decimal"/>
      <w:lvlText w:val="%4"/>
      <w:lvlJc w:val="left"/>
      <w:pPr>
        <w:ind w:left="252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4" w:tplc="E96A3730">
      <w:start w:val="1"/>
      <w:numFmt w:val="lowerLetter"/>
      <w:lvlText w:val="%5"/>
      <w:lvlJc w:val="left"/>
      <w:pPr>
        <w:ind w:left="324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5" w:tplc="BB649854">
      <w:start w:val="1"/>
      <w:numFmt w:val="lowerRoman"/>
      <w:lvlText w:val="%6"/>
      <w:lvlJc w:val="left"/>
      <w:pPr>
        <w:ind w:left="396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6" w:tplc="602AC1B0">
      <w:start w:val="1"/>
      <w:numFmt w:val="decimal"/>
      <w:lvlText w:val="%7"/>
      <w:lvlJc w:val="left"/>
      <w:pPr>
        <w:ind w:left="468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7" w:tplc="FE6C331A">
      <w:start w:val="1"/>
      <w:numFmt w:val="lowerLetter"/>
      <w:lvlText w:val="%8"/>
      <w:lvlJc w:val="left"/>
      <w:pPr>
        <w:ind w:left="540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8" w:tplc="E9E0F594">
      <w:start w:val="1"/>
      <w:numFmt w:val="lowerRoman"/>
      <w:lvlText w:val="%9"/>
      <w:lvlJc w:val="left"/>
      <w:pPr>
        <w:ind w:left="612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9D60125"/>
    <w:multiLevelType w:val="hybridMultilevel"/>
    <w:tmpl w:val="1A0ED612"/>
    <w:lvl w:ilvl="0" w:tplc="E8E088DC">
      <w:start w:val="4"/>
      <w:numFmt w:val="lowerLetter"/>
      <w:lvlText w:val="%1)"/>
      <w:lvlJc w:val="left"/>
      <w:pPr>
        <w:ind w:left="985"/>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1" w:tplc="D5D04064">
      <w:start w:val="1"/>
      <w:numFmt w:val="lowerLetter"/>
      <w:lvlText w:val="%2"/>
      <w:lvlJc w:val="left"/>
      <w:pPr>
        <w:ind w:left="1788"/>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2" w:tplc="AE7A100C">
      <w:start w:val="1"/>
      <w:numFmt w:val="lowerRoman"/>
      <w:lvlText w:val="%3"/>
      <w:lvlJc w:val="left"/>
      <w:pPr>
        <w:ind w:left="2508"/>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3" w:tplc="232474B0">
      <w:start w:val="1"/>
      <w:numFmt w:val="decimal"/>
      <w:lvlText w:val="%4"/>
      <w:lvlJc w:val="left"/>
      <w:pPr>
        <w:ind w:left="3228"/>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4" w:tplc="F242774A">
      <w:start w:val="1"/>
      <w:numFmt w:val="lowerLetter"/>
      <w:lvlText w:val="%5"/>
      <w:lvlJc w:val="left"/>
      <w:pPr>
        <w:ind w:left="3948"/>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5" w:tplc="C2306220">
      <w:start w:val="1"/>
      <w:numFmt w:val="lowerRoman"/>
      <w:lvlText w:val="%6"/>
      <w:lvlJc w:val="left"/>
      <w:pPr>
        <w:ind w:left="4668"/>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6" w:tplc="C64E50F4">
      <w:start w:val="1"/>
      <w:numFmt w:val="decimal"/>
      <w:lvlText w:val="%7"/>
      <w:lvlJc w:val="left"/>
      <w:pPr>
        <w:ind w:left="5388"/>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7" w:tplc="F47281C0">
      <w:start w:val="1"/>
      <w:numFmt w:val="lowerLetter"/>
      <w:lvlText w:val="%8"/>
      <w:lvlJc w:val="left"/>
      <w:pPr>
        <w:ind w:left="6108"/>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8" w:tplc="2C6688DC">
      <w:start w:val="1"/>
      <w:numFmt w:val="lowerRoman"/>
      <w:lvlText w:val="%9"/>
      <w:lvlJc w:val="left"/>
      <w:pPr>
        <w:ind w:left="6828"/>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0BE6C26"/>
    <w:multiLevelType w:val="hybridMultilevel"/>
    <w:tmpl w:val="D0BC339C"/>
    <w:lvl w:ilvl="0" w:tplc="E1A2B1E2">
      <w:start w:val="1"/>
      <w:numFmt w:val="upperLetter"/>
      <w:lvlText w:val="%1."/>
      <w:lvlJc w:val="left"/>
      <w:pPr>
        <w:ind w:left="949" w:hanging="360"/>
      </w:pPr>
      <w:rPr>
        <w:rFonts w:hint="default"/>
      </w:rPr>
    </w:lvl>
    <w:lvl w:ilvl="1" w:tplc="240A0019" w:tentative="1">
      <w:start w:val="1"/>
      <w:numFmt w:val="lowerLetter"/>
      <w:lvlText w:val="%2."/>
      <w:lvlJc w:val="left"/>
      <w:pPr>
        <w:ind w:left="1669" w:hanging="360"/>
      </w:pPr>
    </w:lvl>
    <w:lvl w:ilvl="2" w:tplc="240A001B" w:tentative="1">
      <w:start w:val="1"/>
      <w:numFmt w:val="lowerRoman"/>
      <w:lvlText w:val="%3."/>
      <w:lvlJc w:val="right"/>
      <w:pPr>
        <w:ind w:left="2389" w:hanging="180"/>
      </w:pPr>
    </w:lvl>
    <w:lvl w:ilvl="3" w:tplc="240A000F" w:tentative="1">
      <w:start w:val="1"/>
      <w:numFmt w:val="decimal"/>
      <w:lvlText w:val="%4."/>
      <w:lvlJc w:val="left"/>
      <w:pPr>
        <w:ind w:left="3109" w:hanging="360"/>
      </w:pPr>
    </w:lvl>
    <w:lvl w:ilvl="4" w:tplc="240A0019" w:tentative="1">
      <w:start w:val="1"/>
      <w:numFmt w:val="lowerLetter"/>
      <w:lvlText w:val="%5."/>
      <w:lvlJc w:val="left"/>
      <w:pPr>
        <w:ind w:left="3829" w:hanging="360"/>
      </w:pPr>
    </w:lvl>
    <w:lvl w:ilvl="5" w:tplc="240A001B" w:tentative="1">
      <w:start w:val="1"/>
      <w:numFmt w:val="lowerRoman"/>
      <w:lvlText w:val="%6."/>
      <w:lvlJc w:val="right"/>
      <w:pPr>
        <w:ind w:left="4549" w:hanging="180"/>
      </w:pPr>
    </w:lvl>
    <w:lvl w:ilvl="6" w:tplc="240A000F" w:tentative="1">
      <w:start w:val="1"/>
      <w:numFmt w:val="decimal"/>
      <w:lvlText w:val="%7."/>
      <w:lvlJc w:val="left"/>
      <w:pPr>
        <w:ind w:left="5269" w:hanging="360"/>
      </w:pPr>
    </w:lvl>
    <w:lvl w:ilvl="7" w:tplc="240A0019" w:tentative="1">
      <w:start w:val="1"/>
      <w:numFmt w:val="lowerLetter"/>
      <w:lvlText w:val="%8."/>
      <w:lvlJc w:val="left"/>
      <w:pPr>
        <w:ind w:left="5989" w:hanging="360"/>
      </w:pPr>
    </w:lvl>
    <w:lvl w:ilvl="8" w:tplc="240A001B" w:tentative="1">
      <w:start w:val="1"/>
      <w:numFmt w:val="lowerRoman"/>
      <w:lvlText w:val="%9."/>
      <w:lvlJc w:val="right"/>
      <w:pPr>
        <w:ind w:left="6709" w:hanging="180"/>
      </w:pPr>
    </w:lvl>
  </w:abstractNum>
  <w:abstractNum w:abstractNumId="4" w15:restartNumberingAfterBreak="0">
    <w:nsid w:val="121F59BD"/>
    <w:multiLevelType w:val="multilevel"/>
    <w:tmpl w:val="126281C0"/>
    <w:lvl w:ilvl="0">
      <w:start w:val="1"/>
      <w:numFmt w:val="decimal"/>
      <w:lvlText w:val="%1."/>
      <w:lvlJc w:val="left"/>
      <w:pPr>
        <w:ind w:left="720" w:hanging="360"/>
      </w:pPr>
      <w:rPr>
        <w:rFonts w:hint="default"/>
        <w:b/>
      </w:rPr>
    </w:lvl>
    <w:lvl w:ilvl="1">
      <w:start w:val="1"/>
      <w:numFmt w:val="decimal"/>
      <w:isLgl/>
      <w:lvlText w:val="%1.%2"/>
      <w:lvlJc w:val="left"/>
      <w:pPr>
        <w:ind w:left="786"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4412A23"/>
    <w:multiLevelType w:val="hybridMultilevel"/>
    <w:tmpl w:val="40E871CC"/>
    <w:lvl w:ilvl="0" w:tplc="2BEC5D36">
      <w:start w:val="1"/>
      <w:numFmt w:val="decimal"/>
      <w:lvlText w:val="%1."/>
      <w:lvlJc w:val="left"/>
      <w:pPr>
        <w:ind w:left="715"/>
      </w:pPr>
      <w:rPr>
        <w:rFonts w:ascii="Arial Narrow" w:eastAsia="Century Gothic" w:hAnsi="Arial Narrow" w:cs="Century Gothic" w:hint="default"/>
        <w:b w:val="0"/>
        <w:i/>
        <w:iCs/>
        <w:strike w:val="0"/>
        <w:dstrike w:val="0"/>
        <w:color w:val="000000"/>
        <w:sz w:val="20"/>
        <w:szCs w:val="20"/>
        <w:u w:val="none" w:color="000000"/>
        <w:bdr w:val="none" w:sz="0" w:space="0" w:color="auto"/>
        <w:shd w:val="clear" w:color="auto" w:fill="auto"/>
        <w:vertAlign w:val="baseline"/>
      </w:rPr>
    </w:lvl>
    <w:lvl w:ilvl="1" w:tplc="4718F5B2">
      <w:start w:val="1"/>
      <w:numFmt w:val="lowerLetter"/>
      <w:lvlText w:val="%2"/>
      <w:lvlJc w:val="left"/>
      <w:pPr>
        <w:ind w:left="1788"/>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2" w:tplc="58869B7E">
      <w:start w:val="1"/>
      <w:numFmt w:val="lowerRoman"/>
      <w:lvlText w:val="%3"/>
      <w:lvlJc w:val="left"/>
      <w:pPr>
        <w:ind w:left="2508"/>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3" w:tplc="963E67C2">
      <w:start w:val="1"/>
      <w:numFmt w:val="decimal"/>
      <w:lvlText w:val="%4"/>
      <w:lvlJc w:val="left"/>
      <w:pPr>
        <w:ind w:left="3228"/>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4" w:tplc="E67472E8">
      <w:start w:val="1"/>
      <w:numFmt w:val="lowerLetter"/>
      <w:lvlText w:val="%5"/>
      <w:lvlJc w:val="left"/>
      <w:pPr>
        <w:ind w:left="3948"/>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5" w:tplc="B75CF1C4">
      <w:start w:val="1"/>
      <w:numFmt w:val="lowerRoman"/>
      <w:lvlText w:val="%6"/>
      <w:lvlJc w:val="left"/>
      <w:pPr>
        <w:ind w:left="4668"/>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6" w:tplc="9FAAC380">
      <w:start w:val="1"/>
      <w:numFmt w:val="decimal"/>
      <w:lvlText w:val="%7"/>
      <w:lvlJc w:val="left"/>
      <w:pPr>
        <w:ind w:left="5388"/>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7" w:tplc="C02C0D32">
      <w:start w:val="1"/>
      <w:numFmt w:val="lowerLetter"/>
      <w:lvlText w:val="%8"/>
      <w:lvlJc w:val="left"/>
      <w:pPr>
        <w:ind w:left="6108"/>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8" w:tplc="A40844E4">
      <w:start w:val="1"/>
      <w:numFmt w:val="lowerRoman"/>
      <w:lvlText w:val="%9"/>
      <w:lvlJc w:val="left"/>
      <w:pPr>
        <w:ind w:left="6828"/>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abstractNum>
  <w:abstractNum w:abstractNumId="6" w15:restartNumberingAfterBreak="0">
    <w:nsid w:val="149A0EF6"/>
    <w:multiLevelType w:val="hybridMultilevel"/>
    <w:tmpl w:val="3B92AE1A"/>
    <w:lvl w:ilvl="0" w:tplc="B33823D4">
      <w:start w:val="1"/>
      <w:numFmt w:val="lowerLetter"/>
      <w:lvlText w:val="%1)"/>
      <w:lvlJc w:val="left"/>
      <w:pPr>
        <w:ind w:left="984"/>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1" w:tplc="E4D8F566">
      <w:start w:val="1"/>
      <w:numFmt w:val="lowerLetter"/>
      <w:lvlText w:val="%2"/>
      <w:lvlJc w:val="left"/>
      <w:pPr>
        <w:ind w:left="1788"/>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2" w:tplc="0136B7A2">
      <w:start w:val="1"/>
      <w:numFmt w:val="lowerRoman"/>
      <w:lvlText w:val="%3"/>
      <w:lvlJc w:val="left"/>
      <w:pPr>
        <w:ind w:left="2508"/>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3" w:tplc="5FFA52A2">
      <w:start w:val="1"/>
      <w:numFmt w:val="decimal"/>
      <w:lvlText w:val="%4"/>
      <w:lvlJc w:val="left"/>
      <w:pPr>
        <w:ind w:left="3228"/>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4" w:tplc="9D30B978">
      <w:start w:val="1"/>
      <w:numFmt w:val="lowerLetter"/>
      <w:lvlText w:val="%5"/>
      <w:lvlJc w:val="left"/>
      <w:pPr>
        <w:ind w:left="3948"/>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5" w:tplc="D4D812D4">
      <w:start w:val="1"/>
      <w:numFmt w:val="lowerRoman"/>
      <w:lvlText w:val="%6"/>
      <w:lvlJc w:val="left"/>
      <w:pPr>
        <w:ind w:left="4668"/>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6" w:tplc="C2D634D0">
      <w:start w:val="1"/>
      <w:numFmt w:val="decimal"/>
      <w:lvlText w:val="%7"/>
      <w:lvlJc w:val="left"/>
      <w:pPr>
        <w:ind w:left="5388"/>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7" w:tplc="9EEC453C">
      <w:start w:val="1"/>
      <w:numFmt w:val="lowerLetter"/>
      <w:lvlText w:val="%8"/>
      <w:lvlJc w:val="left"/>
      <w:pPr>
        <w:ind w:left="6108"/>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8" w:tplc="785004BC">
      <w:start w:val="1"/>
      <w:numFmt w:val="lowerRoman"/>
      <w:lvlText w:val="%9"/>
      <w:lvlJc w:val="left"/>
      <w:pPr>
        <w:ind w:left="6828"/>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16847533"/>
    <w:multiLevelType w:val="hybridMultilevel"/>
    <w:tmpl w:val="548CDFE6"/>
    <w:lvl w:ilvl="0" w:tplc="4762C670">
      <w:start w:val="1"/>
      <w:numFmt w:val="lowerRoman"/>
      <w:lvlText w:val="%1)"/>
      <w:lvlJc w:val="left"/>
      <w:pPr>
        <w:ind w:left="1196" w:hanging="720"/>
      </w:pPr>
      <w:rPr>
        <w:rFonts w:hint="default"/>
      </w:rPr>
    </w:lvl>
    <w:lvl w:ilvl="1" w:tplc="240A0019" w:tentative="1">
      <w:start w:val="1"/>
      <w:numFmt w:val="lowerLetter"/>
      <w:lvlText w:val="%2."/>
      <w:lvlJc w:val="left"/>
      <w:pPr>
        <w:ind w:left="1556" w:hanging="360"/>
      </w:pPr>
    </w:lvl>
    <w:lvl w:ilvl="2" w:tplc="240A001B" w:tentative="1">
      <w:start w:val="1"/>
      <w:numFmt w:val="lowerRoman"/>
      <w:lvlText w:val="%3."/>
      <w:lvlJc w:val="right"/>
      <w:pPr>
        <w:ind w:left="2276" w:hanging="180"/>
      </w:pPr>
    </w:lvl>
    <w:lvl w:ilvl="3" w:tplc="240A000F" w:tentative="1">
      <w:start w:val="1"/>
      <w:numFmt w:val="decimal"/>
      <w:lvlText w:val="%4."/>
      <w:lvlJc w:val="left"/>
      <w:pPr>
        <w:ind w:left="2996" w:hanging="360"/>
      </w:pPr>
    </w:lvl>
    <w:lvl w:ilvl="4" w:tplc="240A0019" w:tentative="1">
      <w:start w:val="1"/>
      <w:numFmt w:val="lowerLetter"/>
      <w:lvlText w:val="%5."/>
      <w:lvlJc w:val="left"/>
      <w:pPr>
        <w:ind w:left="3716" w:hanging="360"/>
      </w:pPr>
    </w:lvl>
    <w:lvl w:ilvl="5" w:tplc="240A001B" w:tentative="1">
      <w:start w:val="1"/>
      <w:numFmt w:val="lowerRoman"/>
      <w:lvlText w:val="%6."/>
      <w:lvlJc w:val="right"/>
      <w:pPr>
        <w:ind w:left="4436" w:hanging="180"/>
      </w:pPr>
    </w:lvl>
    <w:lvl w:ilvl="6" w:tplc="240A000F" w:tentative="1">
      <w:start w:val="1"/>
      <w:numFmt w:val="decimal"/>
      <w:lvlText w:val="%7."/>
      <w:lvlJc w:val="left"/>
      <w:pPr>
        <w:ind w:left="5156" w:hanging="360"/>
      </w:pPr>
    </w:lvl>
    <w:lvl w:ilvl="7" w:tplc="240A0019" w:tentative="1">
      <w:start w:val="1"/>
      <w:numFmt w:val="lowerLetter"/>
      <w:lvlText w:val="%8."/>
      <w:lvlJc w:val="left"/>
      <w:pPr>
        <w:ind w:left="5876" w:hanging="360"/>
      </w:pPr>
    </w:lvl>
    <w:lvl w:ilvl="8" w:tplc="240A001B" w:tentative="1">
      <w:start w:val="1"/>
      <w:numFmt w:val="lowerRoman"/>
      <w:lvlText w:val="%9."/>
      <w:lvlJc w:val="right"/>
      <w:pPr>
        <w:ind w:left="6596" w:hanging="180"/>
      </w:pPr>
    </w:lvl>
  </w:abstractNum>
  <w:abstractNum w:abstractNumId="8" w15:restartNumberingAfterBreak="0">
    <w:nsid w:val="26874244"/>
    <w:multiLevelType w:val="hybridMultilevel"/>
    <w:tmpl w:val="FD404D32"/>
    <w:lvl w:ilvl="0" w:tplc="D9A89F76">
      <w:start w:val="5"/>
      <w:numFmt w:val="lowerRoman"/>
      <w:lvlText w:val="%1-"/>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F8A1FDA">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A969A74">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D0C4D28">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0900BE6">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8A6615C">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F94BB5C">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BAA4962">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8343032">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883600E"/>
    <w:multiLevelType w:val="hybridMultilevel"/>
    <w:tmpl w:val="0B38C368"/>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0" w15:restartNumberingAfterBreak="0">
    <w:nsid w:val="29B11B77"/>
    <w:multiLevelType w:val="hybridMultilevel"/>
    <w:tmpl w:val="9FC490C8"/>
    <w:lvl w:ilvl="0" w:tplc="AF863FD2">
      <w:numFmt w:val="bullet"/>
      <w:lvlText w:val="-"/>
      <w:lvlJc w:val="left"/>
      <w:pPr>
        <w:ind w:left="1196" w:hanging="360"/>
      </w:pPr>
      <w:rPr>
        <w:rFonts w:ascii="Arial MT" w:eastAsia="Arial MT" w:hAnsi="Arial MT" w:cs="Arial MT" w:hint="default"/>
        <w:b w:val="0"/>
        <w:bCs w:val="0"/>
        <w:i w:val="0"/>
        <w:iCs w:val="0"/>
        <w:spacing w:val="0"/>
        <w:w w:val="99"/>
        <w:sz w:val="16"/>
        <w:szCs w:val="16"/>
        <w:lang w:val="es-ES" w:eastAsia="en-US" w:bidi="ar-SA"/>
      </w:rPr>
    </w:lvl>
    <w:lvl w:ilvl="1" w:tplc="240A0003">
      <w:start w:val="1"/>
      <w:numFmt w:val="bullet"/>
      <w:lvlText w:val="o"/>
      <w:lvlJc w:val="left"/>
      <w:pPr>
        <w:ind w:left="1916" w:hanging="360"/>
      </w:pPr>
      <w:rPr>
        <w:rFonts w:ascii="Courier New" w:hAnsi="Courier New" w:cs="Courier New" w:hint="default"/>
      </w:rPr>
    </w:lvl>
    <w:lvl w:ilvl="2" w:tplc="240A0005" w:tentative="1">
      <w:start w:val="1"/>
      <w:numFmt w:val="bullet"/>
      <w:lvlText w:val=""/>
      <w:lvlJc w:val="left"/>
      <w:pPr>
        <w:ind w:left="2636" w:hanging="360"/>
      </w:pPr>
      <w:rPr>
        <w:rFonts w:ascii="Wingdings" w:hAnsi="Wingdings" w:hint="default"/>
      </w:rPr>
    </w:lvl>
    <w:lvl w:ilvl="3" w:tplc="240A0001" w:tentative="1">
      <w:start w:val="1"/>
      <w:numFmt w:val="bullet"/>
      <w:lvlText w:val=""/>
      <w:lvlJc w:val="left"/>
      <w:pPr>
        <w:ind w:left="3356" w:hanging="360"/>
      </w:pPr>
      <w:rPr>
        <w:rFonts w:ascii="Symbol" w:hAnsi="Symbol" w:hint="default"/>
      </w:rPr>
    </w:lvl>
    <w:lvl w:ilvl="4" w:tplc="240A0003" w:tentative="1">
      <w:start w:val="1"/>
      <w:numFmt w:val="bullet"/>
      <w:lvlText w:val="o"/>
      <w:lvlJc w:val="left"/>
      <w:pPr>
        <w:ind w:left="4076" w:hanging="360"/>
      </w:pPr>
      <w:rPr>
        <w:rFonts w:ascii="Courier New" w:hAnsi="Courier New" w:cs="Courier New" w:hint="default"/>
      </w:rPr>
    </w:lvl>
    <w:lvl w:ilvl="5" w:tplc="240A0005" w:tentative="1">
      <w:start w:val="1"/>
      <w:numFmt w:val="bullet"/>
      <w:lvlText w:val=""/>
      <w:lvlJc w:val="left"/>
      <w:pPr>
        <w:ind w:left="4796" w:hanging="360"/>
      </w:pPr>
      <w:rPr>
        <w:rFonts w:ascii="Wingdings" w:hAnsi="Wingdings" w:hint="default"/>
      </w:rPr>
    </w:lvl>
    <w:lvl w:ilvl="6" w:tplc="240A0001" w:tentative="1">
      <w:start w:val="1"/>
      <w:numFmt w:val="bullet"/>
      <w:lvlText w:val=""/>
      <w:lvlJc w:val="left"/>
      <w:pPr>
        <w:ind w:left="5516" w:hanging="360"/>
      </w:pPr>
      <w:rPr>
        <w:rFonts w:ascii="Symbol" w:hAnsi="Symbol" w:hint="default"/>
      </w:rPr>
    </w:lvl>
    <w:lvl w:ilvl="7" w:tplc="240A0003" w:tentative="1">
      <w:start w:val="1"/>
      <w:numFmt w:val="bullet"/>
      <w:lvlText w:val="o"/>
      <w:lvlJc w:val="left"/>
      <w:pPr>
        <w:ind w:left="6236" w:hanging="360"/>
      </w:pPr>
      <w:rPr>
        <w:rFonts w:ascii="Courier New" w:hAnsi="Courier New" w:cs="Courier New" w:hint="default"/>
      </w:rPr>
    </w:lvl>
    <w:lvl w:ilvl="8" w:tplc="240A0005" w:tentative="1">
      <w:start w:val="1"/>
      <w:numFmt w:val="bullet"/>
      <w:lvlText w:val=""/>
      <w:lvlJc w:val="left"/>
      <w:pPr>
        <w:ind w:left="6956" w:hanging="360"/>
      </w:pPr>
      <w:rPr>
        <w:rFonts w:ascii="Wingdings" w:hAnsi="Wingdings" w:hint="default"/>
      </w:rPr>
    </w:lvl>
  </w:abstractNum>
  <w:abstractNum w:abstractNumId="11" w15:restartNumberingAfterBreak="0">
    <w:nsid w:val="322447BD"/>
    <w:multiLevelType w:val="hybridMultilevel"/>
    <w:tmpl w:val="BFE0A1A6"/>
    <w:lvl w:ilvl="0" w:tplc="D5885BAE">
      <w:start w:val="1"/>
      <w:numFmt w:val="decimal"/>
      <w:lvlText w:val="%1."/>
      <w:lvlJc w:val="left"/>
      <w:pPr>
        <w:ind w:left="709"/>
      </w:pPr>
      <w:rPr>
        <w:rFonts w:ascii="Century Gothic" w:eastAsia="Century Gothic" w:hAnsi="Century Gothic" w:cs="Century Gothic"/>
        <w:b w:val="0"/>
        <w:i/>
        <w:iCs/>
        <w:strike w:val="0"/>
        <w:dstrike w:val="0"/>
        <w:color w:val="000000"/>
        <w:sz w:val="22"/>
        <w:szCs w:val="22"/>
        <w:u w:val="none" w:color="000000"/>
        <w:bdr w:val="none" w:sz="0" w:space="0" w:color="auto"/>
        <w:shd w:val="clear" w:color="auto" w:fill="auto"/>
        <w:vertAlign w:val="baseline"/>
      </w:rPr>
    </w:lvl>
    <w:lvl w:ilvl="1" w:tplc="8CAC1DB0">
      <w:start w:val="1"/>
      <w:numFmt w:val="lowerLetter"/>
      <w:lvlText w:val="%2"/>
      <w:lvlJc w:val="left"/>
      <w:pPr>
        <w:ind w:left="1434"/>
      </w:pPr>
      <w:rPr>
        <w:rFonts w:ascii="Century Gothic" w:eastAsia="Century Gothic" w:hAnsi="Century Gothic" w:cs="Century Gothic"/>
        <w:b w:val="0"/>
        <w:i/>
        <w:iCs/>
        <w:strike w:val="0"/>
        <w:dstrike w:val="0"/>
        <w:color w:val="000000"/>
        <w:sz w:val="22"/>
        <w:szCs w:val="22"/>
        <w:u w:val="none" w:color="000000"/>
        <w:bdr w:val="none" w:sz="0" w:space="0" w:color="auto"/>
        <w:shd w:val="clear" w:color="auto" w:fill="auto"/>
        <w:vertAlign w:val="baseline"/>
      </w:rPr>
    </w:lvl>
    <w:lvl w:ilvl="2" w:tplc="2D72B68E">
      <w:start w:val="1"/>
      <w:numFmt w:val="lowerRoman"/>
      <w:lvlText w:val="%3"/>
      <w:lvlJc w:val="left"/>
      <w:pPr>
        <w:ind w:left="2154"/>
      </w:pPr>
      <w:rPr>
        <w:rFonts w:ascii="Century Gothic" w:eastAsia="Century Gothic" w:hAnsi="Century Gothic" w:cs="Century Gothic"/>
        <w:b w:val="0"/>
        <w:i/>
        <w:iCs/>
        <w:strike w:val="0"/>
        <w:dstrike w:val="0"/>
        <w:color w:val="000000"/>
        <w:sz w:val="22"/>
        <w:szCs w:val="22"/>
        <w:u w:val="none" w:color="000000"/>
        <w:bdr w:val="none" w:sz="0" w:space="0" w:color="auto"/>
        <w:shd w:val="clear" w:color="auto" w:fill="auto"/>
        <w:vertAlign w:val="baseline"/>
      </w:rPr>
    </w:lvl>
    <w:lvl w:ilvl="3" w:tplc="E638ADC6">
      <w:start w:val="1"/>
      <w:numFmt w:val="decimal"/>
      <w:lvlText w:val="%4"/>
      <w:lvlJc w:val="left"/>
      <w:pPr>
        <w:ind w:left="2874"/>
      </w:pPr>
      <w:rPr>
        <w:rFonts w:ascii="Century Gothic" w:eastAsia="Century Gothic" w:hAnsi="Century Gothic" w:cs="Century Gothic"/>
        <w:b w:val="0"/>
        <w:i/>
        <w:iCs/>
        <w:strike w:val="0"/>
        <w:dstrike w:val="0"/>
        <w:color w:val="000000"/>
        <w:sz w:val="22"/>
        <w:szCs w:val="22"/>
        <w:u w:val="none" w:color="000000"/>
        <w:bdr w:val="none" w:sz="0" w:space="0" w:color="auto"/>
        <w:shd w:val="clear" w:color="auto" w:fill="auto"/>
        <w:vertAlign w:val="baseline"/>
      </w:rPr>
    </w:lvl>
    <w:lvl w:ilvl="4" w:tplc="FDA2BE70">
      <w:start w:val="1"/>
      <w:numFmt w:val="lowerLetter"/>
      <w:lvlText w:val="%5"/>
      <w:lvlJc w:val="left"/>
      <w:pPr>
        <w:ind w:left="3594"/>
      </w:pPr>
      <w:rPr>
        <w:rFonts w:ascii="Century Gothic" w:eastAsia="Century Gothic" w:hAnsi="Century Gothic" w:cs="Century Gothic"/>
        <w:b w:val="0"/>
        <w:i/>
        <w:iCs/>
        <w:strike w:val="0"/>
        <w:dstrike w:val="0"/>
        <w:color w:val="000000"/>
        <w:sz w:val="22"/>
        <w:szCs w:val="22"/>
        <w:u w:val="none" w:color="000000"/>
        <w:bdr w:val="none" w:sz="0" w:space="0" w:color="auto"/>
        <w:shd w:val="clear" w:color="auto" w:fill="auto"/>
        <w:vertAlign w:val="baseline"/>
      </w:rPr>
    </w:lvl>
    <w:lvl w:ilvl="5" w:tplc="78CCAD5E">
      <w:start w:val="1"/>
      <w:numFmt w:val="lowerRoman"/>
      <w:lvlText w:val="%6"/>
      <w:lvlJc w:val="left"/>
      <w:pPr>
        <w:ind w:left="4314"/>
      </w:pPr>
      <w:rPr>
        <w:rFonts w:ascii="Century Gothic" w:eastAsia="Century Gothic" w:hAnsi="Century Gothic" w:cs="Century Gothic"/>
        <w:b w:val="0"/>
        <w:i/>
        <w:iCs/>
        <w:strike w:val="0"/>
        <w:dstrike w:val="0"/>
        <w:color w:val="000000"/>
        <w:sz w:val="22"/>
        <w:szCs w:val="22"/>
        <w:u w:val="none" w:color="000000"/>
        <w:bdr w:val="none" w:sz="0" w:space="0" w:color="auto"/>
        <w:shd w:val="clear" w:color="auto" w:fill="auto"/>
        <w:vertAlign w:val="baseline"/>
      </w:rPr>
    </w:lvl>
    <w:lvl w:ilvl="6" w:tplc="778A68A4">
      <w:start w:val="1"/>
      <w:numFmt w:val="decimal"/>
      <w:lvlText w:val="%7"/>
      <w:lvlJc w:val="left"/>
      <w:pPr>
        <w:ind w:left="5034"/>
      </w:pPr>
      <w:rPr>
        <w:rFonts w:ascii="Century Gothic" w:eastAsia="Century Gothic" w:hAnsi="Century Gothic" w:cs="Century Gothic"/>
        <w:b w:val="0"/>
        <w:i/>
        <w:iCs/>
        <w:strike w:val="0"/>
        <w:dstrike w:val="0"/>
        <w:color w:val="000000"/>
        <w:sz w:val="22"/>
        <w:szCs w:val="22"/>
        <w:u w:val="none" w:color="000000"/>
        <w:bdr w:val="none" w:sz="0" w:space="0" w:color="auto"/>
        <w:shd w:val="clear" w:color="auto" w:fill="auto"/>
        <w:vertAlign w:val="baseline"/>
      </w:rPr>
    </w:lvl>
    <w:lvl w:ilvl="7" w:tplc="F59E6DA4">
      <w:start w:val="1"/>
      <w:numFmt w:val="lowerLetter"/>
      <w:lvlText w:val="%8"/>
      <w:lvlJc w:val="left"/>
      <w:pPr>
        <w:ind w:left="5754"/>
      </w:pPr>
      <w:rPr>
        <w:rFonts w:ascii="Century Gothic" w:eastAsia="Century Gothic" w:hAnsi="Century Gothic" w:cs="Century Gothic"/>
        <w:b w:val="0"/>
        <w:i/>
        <w:iCs/>
        <w:strike w:val="0"/>
        <w:dstrike w:val="0"/>
        <w:color w:val="000000"/>
        <w:sz w:val="22"/>
        <w:szCs w:val="22"/>
        <w:u w:val="none" w:color="000000"/>
        <w:bdr w:val="none" w:sz="0" w:space="0" w:color="auto"/>
        <w:shd w:val="clear" w:color="auto" w:fill="auto"/>
        <w:vertAlign w:val="baseline"/>
      </w:rPr>
    </w:lvl>
    <w:lvl w:ilvl="8" w:tplc="90603C7E">
      <w:start w:val="1"/>
      <w:numFmt w:val="lowerRoman"/>
      <w:lvlText w:val="%9"/>
      <w:lvlJc w:val="left"/>
      <w:pPr>
        <w:ind w:left="6474"/>
      </w:pPr>
      <w:rPr>
        <w:rFonts w:ascii="Century Gothic" w:eastAsia="Century Gothic" w:hAnsi="Century Gothic" w:cs="Century Gothic"/>
        <w:b w:val="0"/>
        <w:i/>
        <w:iCs/>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4350FED"/>
    <w:multiLevelType w:val="hybridMultilevel"/>
    <w:tmpl w:val="33EC2A82"/>
    <w:lvl w:ilvl="0" w:tplc="0804D838">
      <w:start w:val="5"/>
      <w:numFmt w:val="decimal"/>
      <w:lvlText w:val="%1."/>
      <w:lvlJc w:val="left"/>
      <w:pPr>
        <w:ind w:left="888"/>
      </w:pPr>
      <w:rPr>
        <w:rFonts w:ascii="Century Gothic" w:eastAsia="Century Gothic" w:hAnsi="Century Gothic" w:cs="Century Gothic"/>
        <w:b w:val="0"/>
        <w:i/>
        <w:iCs/>
        <w:strike w:val="0"/>
        <w:dstrike w:val="0"/>
        <w:color w:val="000000"/>
        <w:sz w:val="22"/>
        <w:szCs w:val="22"/>
        <w:u w:val="none" w:color="000000"/>
        <w:bdr w:val="none" w:sz="0" w:space="0" w:color="auto"/>
        <w:shd w:val="clear" w:color="auto" w:fill="auto"/>
        <w:vertAlign w:val="baseline"/>
      </w:rPr>
    </w:lvl>
    <w:lvl w:ilvl="1" w:tplc="6DEC568A">
      <w:start w:val="1"/>
      <w:numFmt w:val="lowerLetter"/>
      <w:lvlText w:val="%2"/>
      <w:lvlJc w:val="left"/>
      <w:pPr>
        <w:ind w:left="1788"/>
      </w:pPr>
      <w:rPr>
        <w:rFonts w:ascii="Century Gothic" w:eastAsia="Century Gothic" w:hAnsi="Century Gothic" w:cs="Century Gothic"/>
        <w:b w:val="0"/>
        <w:i/>
        <w:iCs/>
        <w:strike w:val="0"/>
        <w:dstrike w:val="0"/>
        <w:color w:val="000000"/>
        <w:sz w:val="22"/>
        <w:szCs w:val="22"/>
        <w:u w:val="none" w:color="000000"/>
        <w:bdr w:val="none" w:sz="0" w:space="0" w:color="auto"/>
        <w:shd w:val="clear" w:color="auto" w:fill="auto"/>
        <w:vertAlign w:val="baseline"/>
      </w:rPr>
    </w:lvl>
    <w:lvl w:ilvl="2" w:tplc="4846F9C2">
      <w:start w:val="1"/>
      <w:numFmt w:val="lowerRoman"/>
      <w:lvlText w:val="%3"/>
      <w:lvlJc w:val="left"/>
      <w:pPr>
        <w:ind w:left="2508"/>
      </w:pPr>
      <w:rPr>
        <w:rFonts w:ascii="Century Gothic" w:eastAsia="Century Gothic" w:hAnsi="Century Gothic" w:cs="Century Gothic"/>
        <w:b w:val="0"/>
        <w:i/>
        <w:iCs/>
        <w:strike w:val="0"/>
        <w:dstrike w:val="0"/>
        <w:color w:val="000000"/>
        <w:sz w:val="22"/>
        <w:szCs w:val="22"/>
        <w:u w:val="none" w:color="000000"/>
        <w:bdr w:val="none" w:sz="0" w:space="0" w:color="auto"/>
        <w:shd w:val="clear" w:color="auto" w:fill="auto"/>
        <w:vertAlign w:val="baseline"/>
      </w:rPr>
    </w:lvl>
    <w:lvl w:ilvl="3" w:tplc="3EF81266">
      <w:start w:val="1"/>
      <w:numFmt w:val="decimal"/>
      <w:lvlText w:val="%4"/>
      <w:lvlJc w:val="left"/>
      <w:pPr>
        <w:ind w:left="3228"/>
      </w:pPr>
      <w:rPr>
        <w:rFonts w:ascii="Century Gothic" w:eastAsia="Century Gothic" w:hAnsi="Century Gothic" w:cs="Century Gothic"/>
        <w:b w:val="0"/>
        <w:i/>
        <w:iCs/>
        <w:strike w:val="0"/>
        <w:dstrike w:val="0"/>
        <w:color w:val="000000"/>
        <w:sz w:val="22"/>
        <w:szCs w:val="22"/>
        <w:u w:val="none" w:color="000000"/>
        <w:bdr w:val="none" w:sz="0" w:space="0" w:color="auto"/>
        <w:shd w:val="clear" w:color="auto" w:fill="auto"/>
        <w:vertAlign w:val="baseline"/>
      </w:rPr>
    </w:lvl>
    <w:lvl w:ilvl="4" w:tplc="5A665F78">
      <w:start w:val="1"/>
      <w:numFmt w:val="lowerLetter"/>
      <w:lvlText w:val="%5"/>
      <w:lvlJc w:val="left"/>
      <w:pPr>
        <w:ind w:left="3948"/>
      </w:pPr>
      <w:rPr>
        <w:rFonts w:ascii="Century Gothic" w:eastAsia="Century Gothic" w:hAnsi="Century Gothic" w:cs="Century Gothic"/>
        <w:b w:val="0"/>
        <w:i/>
        <w:iCs/>
        <w:strike w:val="0"/>
        <w:dstrike w:val="0"/>
        <w:color w:val="000000"/>
        <w:sz w:val="22"/>
        <w:szCs w:val="22"/>
        <w:u w:val="none" w:color="000000"/>
        <w:bdr w:val="none" w:sz="0" w:space="0" w:color="auto"/>
        <w:shd w:val="clear" w:color="auto" w:fill="auto"/>
        <w:vertAlign w:val="baseline"/>
      </w:rPr>
    </w:lvl>
    <w:lvl w:ilvl="5" w:tplc="06D68DFE">
      <w:start w:val="1"/>
      <w:numFmt w:val="lowerRoman"/>
      <w:lvlText w:val="%6"/>
      <w:lvlJc w:val="left"/>
      <w:pPr>
        <w:ind w:left="4668"/>
      </w:pPr>
      <w:rPr>
        <w:rFonts w:ascii="Century Gothic" w:eastAsia="Century Gothic" w:hAnsi="Century Gothic" w:cs="Century Gothic"/>
        <w:b w:val="0"/>
        <w:i/>
        <w:iCs/>
        <w:strike w:val="0"/>
        <w:dstrike w:val="0"/>
        <w:color w:val="000000"/>
        <w:sz w:val="22"/>
        <w:szCs w:val="22"/>
        <w:u w:val="none" w:color="000000"/>
        <w:bdr w:val="none" w:sz="0" w:space="0" w:color="auto"/>
        <w:shd w:val="clear" w:color="auto" w:fill="auto"/>
        <w:vertAlign w:val="baseline"/>
      </w:rPr>
    </w:lvl>
    <w:lvl w:ilvl="6" w:tplc="BF0822A4">
      <w:start w:val="1"/>
      <w:numFmt w:val="decimal"/>
      <w:lvlText w:val="%7"/>
      <w:lvlJc w:val="left"/>
      <w:pPr>
        <w:ind w:left="5388"/>
      </w:pPr>
      <w:rPr>
        <w:rFonts w:ascii="Century Gothic" w:eastAsia="Century Gothic" w:hAnsi="Century Gothic" w:cs="Century Gothic"/>
        <w:b w:val="0"/>
        <w:i/>
        <w:iCs/>
        <w:strike w:val="0"/>
        <w:dstrike w:val="0"/>
        <w:color w:val="000000"/>
        <w:sz w:val="22"/>
        <w:szCs w:val="22"/>
        <w:u w:val="none" w:color="000000"/>
        <w:bdr w:val="none" w:sz="0" w:space="0" w:color="auto"/>
        <w:shd w:val="clear" w:color="auto" w:fill="auto"/>
        <w:vertAlign w:val="baseline"/>
      </w:rPr>
    </w:lvl>
    <w:lvl w:ilvl="7" w:tplc="671E827A">
      <w:start w:val="1"/>
      <w:numFmt w:val="lowerLetter"/>
      <w:lvlText w:val="%8"/>
      <w:lvlJc w:val="left"/>
      <w:pPr>
        <w:ind w:left="6108"/>
      </w:pPr>
      <w:rPr>
        <w:rFonts w:ascii="Century Gothic" w:eastAsia="Century Gothic" w:hAnsi="Century Gothic" w:cs="Century Gothic"/>
        <w:b w:val="0"/>
        <w:i/>
        <w:iCs/>
        <w:strike w:val="0"/>
        <w:dstrike w:val="0"/>
        <w:color w:val="000000"/>
        <w:sz w:val="22"/>
        <w:szCs w:val="22"/>
        <w:u w:val="none" w:color="000000"/>
        <w:bdr w:val="none" w:sz="0" w:space="0" w:color="auto"/>
        <w:shd w:val="clear" w:color="auto" w:fill="auto"/>
        <w:vertAlign w:val="baseline"/>
      </w:rPr>
    </w:lvl>
    <w:lvl w:ilvl="8" w:tplc="03AE7368">
      <w:start w:val="1"/>
      <w:numFmt w:val="lowerRoman"/>
      <w:lvlText w:val="%9"/>
      <w:lvlJc w:val="left"/>
      <w:pPr>
        <w:ind w:left="6828"/>
      </w:pPr>
      <w:rPr>
        <w:rFonts w:ascii="Century Gothic" w:eastAsia="Century Gothic" w:hAnsi="Century Gothic" w:cs="Century Gothic"/>
        <w:b w:val="0"/>
        <w:i/>
        <w:iCs/>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4416682"/>
    <w:multiLevelType w:val="multilevel"/>
    <w:tmpl w:val="0F8A88E4"/>
    <w:styleLink w:val="Listaactual1"/>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5DB4DE4"/>
    <w:multiLevelType w:val="hybridMultilevel"/>
    <w:tmpl w:val="BF72FBFA"/>
    <w:lvl w:ilvl="0" w:tplc="25185CE8">
      <w:numFmt w:val="bullet"/>
      <w:lvlText w:val="-"/>
      <w:lvlJc w:val="left"/>
      <w:pPr>
        <w:ind w:left="1196" w:hanging="360"/>
      </w:pPr>
      <w:rPr>
        <w:rFonts w:ascii="Arial MT" w:eastAsia="Arial MT" w:hAnsi="Arial MT" w:cs="Arial MT" w:hint="default"/>
        <w:b w:val="0"/>
        <w:bCs w:val="0"/>
        <w:i w:val="0"/>
        <w:iCs w:val="0"/>
        <w:spacing w:val="0"/>
        <w:w w:val="81"/>
        <w:sz w:val="16"/>
        <w:szCs w:val="16"/>
        <w:lang w:val="es-ES" w:eastAsia="en-US" w:bidi="ar-SA"/>
      </w:rPr>
    </w:lvl>
    <w:lvl w:ilvl="1" w:tplc="240A0003" w:tentative="1">
      <w:start w:val="1"/>
      <w:numFmt w:val="bullet"/>
      <w:lvlText w:val="o"/>
      <w:lvlJc w:val="left"/>
      <w:pPr>
        <w:ind w:left="1916" w:hanging="360"/>
      </w:pPr>
      <w:rPr>
        <w:rFonts w:ascii="Courier New" w:hAnsi="Courier New" w:cs="Courier New" w:hint="default"/>
      </w:rPr>
    </w:lvl>
    <w:lvl w:ilvl="2" w:tplc="240A0005" w:tentative="1">
      <w:start w:val="1"/>
      <w:numFmt w:val="bullet"/>
      <w:lvlText w:val=""/>
      <w:lvlJc w:val="left"/>
      <w:pPr>
        <w:ind w:left="2636" w:hanging="360"/>
      </w:pPr>
      <w:rPr>
        <w:rFonts w:ascii="Wingdings" w:hAnsi="Wingdings" w:hint="default"/>
      </w:rPr>
    </w:lvl>
    <w:lvl w:ilvl="3" w:tplc="240A0001" w:tentative="1">
      <w:start w:val="1"/>
      <w:numFmt w:val="bullet"/>
      <w:lvlText w:val=""/>
      <w:lvlJc w:val="left"/>
      <w:pPr>
        <w:ind w:left="3356" w:hanging="360"/>
      </w:pPr>
      <w:rPr>
        <w:rFonts w:ascii="Symbol" w:hAnsi="Symbol" w:hint="default"/>
      </w:rPr>
    </w:lvl>
    <w:lvl w:ilvl="4" w:tplc="240A0003" w:tentative="1">
      <w:start w:val="1"/>
      <w:numFmt w:val="bullet"/>
      <w:lvlText w:val="o"/>
      <w:lvlJc w:val="left"/>
      <w:pPr>
        <w:ind w:left="4076" w:hanging="360"/>
      </w:pPr>
      <w:rPr>
        <w:rFonts w:ascii="Courier New" w:hAnsi="Courier New" w:cs="Courier New" w:hint="default"/>
      </w:rPr>
    </w:lvl>
    <w:lvl w:ilvl="5" w:tplc="240A0005" w:tentative="1">
      <w:start w:val="1"/>
      <w:numFmt w:val="bullet"/>
      <w:lvlText w:val=""/>
      <w:lvlJc w:val="left"/>
      <w:pPr>
        <w:ind w:left="4796" w:hanging="360"/>
      </w:pPr>
      <w:rPr>
        <w:rFonts w:ascii="Wingdings" w:hAnsi="Wingdings" w:hint="default"/>
      </w:rPr>
    </w:lvl>
    <w:lvl w:ilvl="6" w:tplc="240A0001" w:tentative="1">
      <w:start w:val="1"/>
      <w:numFmt w:val="bullet"/>
      <w:lvlText w:val=""/>
      <w:lvlJc w:val="left"/>
      <w:pPr>
        <w:ind w:left="5516" w:hanging="360"/>
      </w:pPr>
      <w:rPr>
        <w:rFonts w:ascii="Symbol" w:hAnsi="Symbol" w:hint="default"/>
      </w:rPr>
    </w:lvl>
    <w:lvl w:ilvl="7" w:tplc="240A0003" w:tentative="1">
      <w:start w:val="1"/>
      <w:numFmt w:val="bullet"/>
      <w:lvlText w:val="o"/>
      <w:lvlJc w:val="left"/>
      <w:pPr>
        <w:ind w:left="6236" w:hanging="360"/>
      </w:pPr>
      <w:rPr>
        <w:rFonts w:ascii="Courier New" w:hAnsi="Courier New" w:cs="Courier New" w:hint="default"/>
      </w:rPr>
    </w:lvl>
    <w:lvl w:ilvl="8" w:tplc="240A0005" w:tentative="1">
      <w:start w:val="1"/>
      <w:numFmt w:val="bullet"/>
      <w:lvlText w:val=""/>
      <w:lvlJc w:val="left"/>
      <w:pPr>
        <w:ind w:left="6956" w:hanging="360"/>
      </w:pPr>
      <w:rPr>
        <w:rFonts w:ascii="Wingdings" w:hAnsi="Wingdings" w:hint="default"/>
      </w:rPr>
    </w:lvl>
  </w:abstractNum>
  <w:abstractNum w:abstractNumId="15" w15:restartNumberingAfterBreak="0">
    <w:nsid w:val="39633BB2"/>
    <w:multiLevelType w:val="hybridMultilevel"/>
    <w:tmpl w:val="B4FCBBF0"/>
    <w:lvl w:ilvl="0" w:tplc="7A50BBA6">
      <w:start w:val="1"/>
      <w:numFmt w:val="lowerRoman"/>
      <w:lvlText w:val="%1-"/>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B1AA3B4">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246CBD6">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E8E965A">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9E8EFD0">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D063EE2">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56E470E">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DA89242">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D2A26C4">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C8441B3"/>
    <w:multiLevelType w:val="hybridMultilevel"/>
    <w:tmpl w:val="1F209AAA"/>
    <w:lvl w:ilvl="0" w:tplc="513CC062">
      <w:start w:val="1"/>
      <w:numFmt w:val="decimal"/>
      <w:lvlText w:val="%1."/>
      <w:lvlJc w:val="left"/>
      <w:pPr>
        <w:ind w:left="927" w:hanging="36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17" w15:restartNumberingAfterBreak="0">
    <w:nsid w:val="3CC57EF4"/>
    <w:multiLevelType w:val="hybridMultilevel"/>
    <w:tmpl w:val="4754AE0E"/>
    <w:lvl w:ilvl="0" w:tplc="AF863FD2">
      <w:numFmt w:val="bullet"/>
      <w:lvlText w:val="-"/>
      <w:lvlJc w:val="left"/>
      <w:pPr>
        <w:ind w:left="1196" w:hanging="360"/>
      </w:pPr>
      <w:rPr>
        <w:rFonts w:ascii="Arial MT" w:eastAsia="Arial MT" w:hAnsi="Arial MT" w:cs="Arial MT" w:hint="default"/>
        <w:b w:val="0"/>
        <w:bCs w:val="0"/>
        <w:i w:val="0"/>
        <w:iCs w:val="0"/>
        <w:spacing w:val="0"/>
        <w:w w:val="99"/>
        <w:sz w:val="16"/>
        <w:szCs w:val="16"/>
        <w:lang w:val="es-ES" w:eastAsia="en-US" w:bidi="ar-SA"/>
      </w:rPr>
    </w:lvl>
    <w:lvl w:ilvl="1" w:tplc="240A0003" w:tentative="1">
      <w:start w:val="1"/>
      <w:numFmt w:val="bullet"/>
      <w:lvlText w:val="o"/>
      <w:lvlJc w:val="left"/>
      <w:pPr>
        <w:ind w:left="1916" w:hanging="360"/>
      </w:pPr>
      <w:rPr>
        <w:rFonts w:ascii="Courier New" w:hAnsi="Courier New" w:cs="Courier New" w:hint="default"/>
      </w:rPr>
    </w:lvl>
    <w:lvl w:ilvl="2" w:tplc="240A0005" w:tentative="1">
      <w:start w:val="1"/>
      <w:numFmt w:val="bullet"/>
      <w:lvlText w:val=""/>
      <w:lvlJc w:val="left"/>
      <w:pPr>
        <w:ind w:left="2636" w:hanging="360"/>
      </w:pPr>
      <w:rPr>
        <w:rFonts w:ascii="Wingdings" w:hAnsi="Wingdings" w:hint="default"/>
      </w:rPr>
    </w:lvl>
    <w:lvl w:ilvl="3" w:tplc="240A0001" w:tentative="1">
      <w:start w:val="1"/>
      <w:numFmt w:val="bullet"/>
      <w:lvlText w:val=""/>
      <w:lvlJc w:val="left"/>
      <w:pPr>
        <w:ind w:left="3356" w:hanging="360"/>
      </w:pPr>
      <w:rPr>
        <w:rFonts w:ascii="Symbol" w:hAnsi="Symbol" w:hint="default"/>
      </w:rPr>
    </w:lvl>
    <w:lvl w:ilvl="4" w:tplc="240A0003" w:tentative="1">
      <w:start w:val="1"/>
      <w:numFmt w:val="bullet"/>
      <w:lvlText w:val="o"/>
      <w:lvlJc w:val="left"/>
      <w:pPr>
        <w:ind w:left="4076" w:hanging="360"/>
      </w:pPr>
      <w:rPr>
        <w:rFonts w:ascii="Courier New" w:hAnsi="Courier New" w:cs="Courier New" w:hint="default"/>
      </w:rPr>
    </w:lvl>
    <w:lvl w:ilvl="5" w:tplc="240A0005" w:tentative="1">
      <w:start w:val="1"/>
      <w:numFmt w:val="bullet"/>
      <w:lvlText w:val=""/>
      <w:lvlJc w:val="left"/>
      <w:pPr>
        <w:ind w:left="4796" w:hanging="360"/>
      </w:pPr>
      <w:rPr>
        <w:rFonts w:ascii="Wingdings" w:hAnsi="Wingdings" w:hint="default"/>
      </w:rPr>
    </w:lvl>
    <w:lvl w:ilvl="6" w:tplc="240A0001" w:tentative="1">
      <w:start w:val="1"/>
      <w:numFmt w:val="bullet"/>
      <w:lvlText w:val=""/>
      <w:lvlJc w:val="left"/>
      <w:pPr>
        <w:ind w:left="5516" w:hanging="360"/>
      </w:pPr>
      <w:rPr>
        <w:rFonts w:ascii="Symbol" w:hAnsi="Symbol" w:hint="default"/>
      </w:rPr>
    </w:lvl>
    <w:lvl w:ilvl="7" w:tplc="240A0003" w:tentative="1">
      <w:start w:val="1"/>
      <w:numFmt w:val="bullet"/>
      <w:lvlText w:val="o"/>
      <w:lvlJc w:val="left"/>
      <w:pPr>
        <w:ind w:left="6236" w:hanging="360"/>
      </w:pPr>
      <w:rPr>
        <w:rFonts w:ascii="Courier New" w:hAnsi="Courier New" w:cs="Courier New" w:hint="default"/>
      </w:rPr>
    </w:lvl>
    <w:lvl w:ilvl="8" w:tplc="240A0005" w:tentative="1">
      <w:start w:val="1"/>
      <w:numFmt w:val="bullet"/>
      <w:lvlText w:val=""/>
      <w:lvlJc w:val="left"/>
      <w:pPr>
        <w:ind w:left="6956" w:hanging="360"/>
      </w:pPr>
      <w:rPr>
        <w:rFonts w:ascii="Wingdings" w:hAnsi="Wingdings" w:hint="default"/>
      </w:rPr>
    </w:lvl>
  </w:abstractNum>
  <w:abstractNum w:abstractNumId="18" w15:restartNumberingAfterBreak="0">
    <w:nsid w:val="3E033982"/>
    <w:multiLevelType w:val="hybridMultilevel"/>
    <w:tmpl w:val="790C54DA"/>
    <w:lvl w:ilvl="0" w:tplc="D0748602">
      <w:start w:val="1"/>
      <w:numFmt w:val="decimal"/>
      <w:lvlText w:val="%1."/>
      <w:lvlJc w:val="left"/>
      <w:pPr>
        <w:ind w:left="1494" w:hanging="360"/>
      </w:pPr>
      <w:rPr>
        <w:rFonts w:hint="default"/>
      </w:rPr>
    </w:lvl>
    <w:lvl w:ilvl="1" w:tplc="240A0019" w:tentative="1">
      <w:start w:val="1"/>
      <w:numFmt w:val="lowerLetter"/>
      <w:lvlText w:val="%2."/>
      <w:lvlJc w:val="left"/>
      <w:pPr>
        <w:ind w:left="2214" w:hanging="360"/>
      </w:pPr>
    </w:lvl>
    <w:lvl w:ilvl="2" w:tplc="240A001B" w:tentative="1">
      <w:start w:val="1"/>
      <w:numFmt w:val="lowerRoman"/>
      <w:lvlText w:val="%3."/>
      <w:lvlJc w:val="right"/>
      <w:pPr>
        <w:ind w:left="2934" w:hanging="180"/>
      </w:pPr>
    </w:lvl>
    <w:lvl w:ilvl="3" w:tplc="240A000F" w:tentative="1">
      <w:start w:val="1"/>
      <w:numFmt w:val="decimal"/>
      <w:lvlText w:val="%4."/>
      <w:lvlJc w:val="left"/>
      <w:pPr>
        <w:ind w:left="3654" w:hanging="360"/>
      </w:pPr>
    </w:lvl>
    <w:lvl w:ilvl="4" w:tplc="240A0019" w:tentative="1">
      <w:start w:val="1"/>
      <w:numFmt w:val="lowerLetter"/>
      <w:lvlText w:val="%5."/>
      <w:lvlJc w:val="left"/>
      <w:pPr>
        <w:ind w:left="4374" w:hanging="360"/>
      </w:pPr>
    </w:lvl>
    <w:lvl w:ilvl="5" w:tplc="240A001B" w:tentative="1">
      <w:start w:val="1"/>
      <w:numFmt w:val="lowerRoman"/>
      <w:lvlText w:val="%6."/>
      <w:lvlJc w:val="right"/>
      <w:pPr>
        <w:ind w:left="5094" w:hanging="180"/>
      </w:pPr>
    </w:lvl>
    <w:lvl w:ilvl="6" w:tplc="240A000F" w:tentative="1">
      <w:start w:val="1"/>
      <w:numFmt w:val="decimal"/>
      <w:lvlText w:val="%7."/>
      <w:lvlJc w:val="left"/>
      <w:pPr>
        <w:ind w:left="5814" w:hanging="360"/>
      </w:pPr>
    </w:lvl>
    <w:lvl w:ilvl="7" w:tplc="240A0019" w:tentative="1">
      <w:start w:val="1"/>
      <w:numFmt w:val="lowerLetter"/>
      <w:lvlText w:val="%8."/>
      <w:lvlJc w:val="left"/>
      <w:pPr>
        <w:ind w:left="6534" w:hanging="360"/>
      </w:pPr>
    </w:lvl>
    <w:lvl w:ilvl="8" w:tplc="240A001B" w:tentative="1">
      <w:start w:val="1"/>
      <w:numFmt w:val="lowerRoman"/>
      <w:lvlText w:val="%9."/>
      <w:lvlJc w:val="right"/>
      <w:pPr>
        <w:ind w:left="7254" w:hanging="180"/>
      </w:pPr>
    </w:lvl>
  </w:abstractNum>
  <w:abstractNum w:abstractNumId="19" w15:restartNumberingAfterBreak="0">
    <w:nsid w:val="47B37073"/>
    <w:multiLevelType w:val="multilevel"/>
    <w:tmpl w:val="46882D2E"/>
    <w:lvl w:ilvl="0">
      <w:start w:val="6"/>
      <w:numFmt w:val="decimal"/>
      <w:lvlText w:val="%1"/>
      <w:lvlJc w:val="left"/>
      <w:pPr>
        <w:ind w:left="360" w:hanging="360"/>
      </w:pPr>
      <w:rPr>
        <w:rFonts w:hint="default"/>
        <w:b/>
        <w:bCs w:val="0"/>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7E02B1D"/>
    <w:multiLevelType w:val="hybridMultilevel"/>
    <w:tmpl w:val="8B781D94"/>
    <w:lvl w:ilvl="0" w:tplc="1AC2D804">
      <w:start w:val="1"/>
      <w:numFmt w:val="lowerLetter"/>
      <w:lvlText w:val="%1)"/>
      <w:lvlJc w:val="left"/>
      <w:pPr>
        <w:ind w:left="1065"/>
      </w:pPr>
      <w:rPr>
        <w:rFonts w:ascii="Arial Narrow" w:eastAsia="Century Gothic" w:hAnsi="Arial Narrow" w:cs="Century Gothic" w:hint="default"/>
        <w:b w:val="0"/>
        <w:i/>
        <w:iCs/>
        <w:strike w:val="0"/>
        <w:dstrike w:val="0"/>
        <w:color w:val="000000"/>
        <w:sz w:val="22"/>
        <w:szCs w:val="22"/>
        <w:u w:val="none" w:color="000000"/>
        <w:bdr w:val="none" w:sz="0" w:space="0" w:color="auto"/>
        <w:shd w:val="clear" w:color="auto" w:fill="auto"/>
        <w:vertAlign w:val="baseline"/>
      </w:rPr>
    </w:lvl>
    <w:lvl w:ilvl="1" w:tplc="75E65A52">
      <w:start w:val="1"/>
      <w:numFmt w:val="lowerLetter"/>
      <w:lvlText w:val="%2"/>
      <w:lvlJc w:val="left"/>
      <w:pPr>
        <w:ind w:left="1788"/>
      </w:pPr>
      <w:rPr>
        <w:rFonts w:ascii="Century Gothic" w:eastAsia="Century Gothic" w:hAnsi="Century Gothic" w:cs="Century Gothic"/>
        <w:b w:val="0"/>
        <w:i/>
        <w:iCs/>
        <w:strike w:val="0"/>
        <w:dstrike w:val="0"/>
        <w:color w:val="000000"/>
        <w:sz w:val="22"/>
        <w:szCs w:val="22"/>
        <w:u w:val="none" w:color="000000"/>
        <w:bdr w:val="none" w:sz="0" w:space="0" w:color="auto"/>
        <w:shd w:val="clear" w:color="auto" w:fill="auto"/>
        <w:vertAlign w:val="baseline"/>
      </w:rPr>
    </w:lvl>
    <w:lvl w:ilvl="2" w:tplc="96F82B00">
      <w:start w:val="1"/>
      <w:numFmt w:val="lowerRoman"/>
      <w:lvlText w:val="%3"/>
      <w:lvlJc w:val="left"/>
      <w:pPr>
        <w:ind w:left="2508"/>
      </w:pPr>
      <w:rPr>
        <w:rFonts w:ascii="Century Gothic" w:eastAsia="Century Gothic" w:hAnsi="Century Gothic" w:cs="Century Gothic"/>
        <w:b w:val="0"/>
        <w:i/>
        <w:iCs/>
        <w:strike w:val="0"/>
        <w:dstrike w:val="0"/>
        <w:color w:val="000000"/>
        <w:sz w:val="22"/>
        <w:szCs w:val="22"/>
        <w:u w:val="none" w:color="000000"/>
        <w:bdr w:val="none" w:sz="0" w:space="0" w:color="auto"/>
        <w:shd w:val="clear" w:color="auto" w:fill="auto"/>
        <w:vertAlign w:val="baseline"/>
      </w:rPr>
    </w:lvl>
    <w:lvl w:ilvl="3" w:tplc="14FA3730">
      <w:start w:val="1"/>
      <w:numFmt w:val="decimal"/>
      <w:lvlText w:val="%4"/>
      <w:lvlJc w:val="left"/>
      <w:pPr>
        <w:ind w:left="3228"/>
      </w:pPr>
      <w:rPr>
        <w:rFonts w:ascii="Century Gothic" w:eastAsia="Century Gothic" w:hAnsi="Century Gothic" w:cs="Century Gothic"/>
        <w:b w:val="0"/>
        <w:i/>
        <w:iCs/>
        <w:strike w:val="0"/>
        <w:dstrike w:val="0"/>
        <w:color w:val="000000"/>
        <w:sz w:val="22"/>
        <w:szCs w:val="22"/>
        <w:u w:val="none" w:color="000000"/>
        <w:bdr w:val="none" w:sz="0" w:space="0" w:color="auto"/>
        <w:shd w:val="clear" w:color="auto" w:fill="auto"/>
        <w:vertAlign w:val="baseline"/>
      </w:rPr>
    </w:lvl>
    <w:lvl w:ilvl="4" w:tplc="A912A7BA">
      <w:start w:val="1"/>
      <w:numFmt w:val="lowerLetter"/>
      <w:lvlText w:val="%5"/>
      <w:lvlJc w:val="left"/>
      <w:pPr>
        <w:ind w:left="3948"/>
      </w:pPr>
      <w:rPr>
        <w:rFonts w:ascii="Century Gothic" w:eastAsia="Century Gothic" w:hAnsi="Century Gothic" w:cs="Century Gothic"/>
        <w:b w:val="0"/>
        <w:i/>
        <w:iCs/>
        <w:strike w:val="0"/>
        <w:dstrike w:val="0"/>
        <w:color w:val="000000"/>
        <w:sz w:val="22"/>
        <w:szCs w:val="22"/>
        <w:u w:val="none" w:color="000000"/>
        <w:bdr w:val="none" w:sz="0" w:space="0" w:color="auto"/>
        <w:shd w:val="clear" w:color="auto" w:fill="auto"/>
        <w:vertAlign w:val="baseline"/>
      </w:rPr>
    </w:lvl>
    <w:lvl w:ilvl="5" w:tplc="F47E2E92">
      <w:start w:val="1"/>
      <w:numFmt w:val="lowerRoman"/>
      <w:lvlText w:val="%6"/>
      <w:lvlJc w:val="left"/>
      <w:pPr>
        <w:ind w:left="4668"/>
      </w:pPr>
      <w:rPr>
        <w:rFonts w:ascii="Century Gothic" w:eastAsia="Century Gothic" w:hAnsi="Century Gothic" w:cs="Century Gothic"/>
        <w:b w:val="0"/>
        <w:i/>
        <w:iCs/>
        <w:strike w:val="0"/>
        <w:dstrike w:val="0"/>
        <w:color w:val="000000"/>
        <w:sz w:val="22"/>
        <w:szCs w:val="22"/>
        <w:u w:val="none" w:color="000000"/>
        <w:bdr w:val="none" w:sz="0" w:space="0" w:color="auto"/>
        <w:shd w:val="clear" w:color="auto" w:fill="auto"/>
        <w:vertAlign w:val="baseline"/>
      </w:rPr>
    </w:lvl>
    <w:lvl w:ilvl="6" w:tplc="FD86A20E">
      <w:start w:val="1"/>
      <w:numFmt w:val="decimal"/>
      <w:lvlText w:val="%7"/>
      <w:lvlJc w:val="left"/>
      <w:pPr>
        <w:ind w:left="5388"/>
      </w:pPr>
      <w:rPr>
        <w:rFonts w:ascii="Century Gothic" w:eastAsia="Century Gothic" w:hAnsi="Century Gothic" w:cs="Century Gothic"/>
        <w:b w:val="0"/>
        <w:i/>
        <w:iCs/>
        <w:strike w:val="0"/>
        <w:dstrike w:val="0"/>
        <w:color w:val="000000"/>
        <w:sz w:val="22"/>
        <w:szCs w:val="22"/>
        <w:u w:val="none" w:color="000000"/>
        <w:bdr w:val="none" w:sz="0" w:space="0" w:color="auto"/>
        <w:shd w:val="clear" w:color="auto" w:fill="auto"/>
        <w:vertAlign w:val="baseline"/>
      </w:rPr>
    </w:lvl>
    <w:lvl w:ilvl="7" w:tplc="6608D2B2">
      <w:start w:val="1"/>
      <w:numFmt w:val="lowerLetter"/>
      <w:lvlText w:val="%8"/>
      <w:lvlJc w:val="left"/>
      <w:pPr>
        <w:ind w:left="6108"/>
      </w:pPr>
      <w:rPr>
        <w:rFonts w:ascii="Century Gothic" w:eastAsia="Century Gothic" w:hAnsi="Century Gothic" w:cs="Century Gothic"/>
        <w:b w:val="0"/>
        <w:i/>
        <w:iCs/>
        <w:strike w:val="0"/>
        <w:dstrike w:val="0"/>
        <w:color w:val="000000"/>
        <w:sz w:val="22"/>
        <w:szCs w:val="22"/>
        <w:u w:val="none" w:color="000000"/>
        <w:bdr w:val="none" w:sz="0" w:space="0" w:color="auto"/>
        <w:shd w:val="clear" w:color="auto" w:fill="auto"/>
        <w:vertAlign w:val="baseline"/>
      </w:rPr>
    </w:lvl>
    <w:lvl w:ilvl="8" w:tplc="796212F4">
      <w:start w:val="1"/>
      <w:numFmt w:val="lowerRoman"/>
      <w:lvlText w:val="%9"/>
      <w:lvlJc w:val="left"/>
      <w:pPr>
        <w:ind w:left="6828"/>
      </w:pPr>
      <w:rPr>
        <w:rFonts w:ascii="Century Gothic" w:eastAsia="Century Gothic" w:hAnsi="Century Gothic" w:cs="Century Gothic"/>
        <w:b w:val="0"/>
        <w:i/>
        <w:iCs/>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97557A5"/>
    <w:multiLevelType w:val="multilevel"/>
    <w:tmpl w:val="687E2E46"/>
    <w:lvl w:ilvl="0">
      <w:start w:val="1"/>
      <w:numFmt w:val="bullet"/>
      <w:lvlText w:val=""/>
      <w:lvlJc w:val="left"/>
      <w:pPr>
        <w:ind w:left="360" w:hanging="360"/>
      </w:pPr>
      <w:rPr>
        <w:rFonts w:ascii="Symbol" w:hAnsi="Symbol"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BA7133E"/>
    <w:multiLevelType w:val="hybridMultilevel"/>
    <w:tmpl w:val="E4588888"/>
    <w:lvl w:ilvl="0" w:tplc="6A5CC792">
      <w:start w:val="12"/>
      <w:numFmt w:val="decimal"/>
      <w:lvlText w:val="%1."/>
      <w:lvlJc w:val="left"/>
      <w:pPr>
        <w:ind w:left="720"/>
      </w:pPr>
      <w:rPr>
        <w:rFonts w:ascii="Century Gothic" w:eastAsia="Century Gothic" w:hAnsi="Century Gothic" w:cs="Century Gothic"/>
        <w:b/>
        <w:bCs/>
        <w:i w:val="0"/>
        <w:strike w:val="0"/>
        <w:dstrike w:val="0"/>
        <w:color w:val="000000"/>
        <w:sz w:val="22"/>
        <w:szCs w:val="22"/>
        <w:u w:val="none" w:color="000000"/>
        <w:bdr w:val="none" w:sz="0" w:space="0" w:color="auto"/>
        <w:shd w:val="clear" w:color="auto" w:fill="auto"/>
        <w:vertAlign w:val="baseline"/>
      </w:rPr>
    </w:lvl>
    <w:lvl w:ilvl="1" w:tplc="DCD0AA0C">
      <w:start w:val="1"/>
      <w:numFmt w:val="lowerLetter"/>
      <w:lvlText w:val="%2"/>
      <w:lvlJc w:val="left"/>
      <w:pPr>
        <w:ind w:left="1440"/>
      </w:pPr>
      <w:rPr>
        <w:rFonts w:ascii="Century Gothic" w:eastAsia="Century Gothic" w:hAnsi="Century Gothic" w:cs="Century Gothic"/>
        <w:b/>
        <w:bCs/>
        <w:i w:val="0"/>
        <w:strike w:val="0"/>
        <w:dstrike w:val="0"/>
        <w:color w:val="000000"/>
        <w:sz w:val="22"/>
        <w:szCs w:val="22"/>
        <w:u w:val="none" w:color="000000"/>
        <w:bdr w:val="none" w:sz="0" w:space="0" w:color="auto"/>
        <w:shd w:val="clear" w:color="auto" w:fill="auto"/>
        <w:vertAlign w:val="baseline"/>
      </w:rPr>
    </w:lvl>
    <w:lvl w:ilvl="2" w:tplc="FAA0920A">
      <w:start w:val="1"/>
      <w:numFmt w:val="lowerRoman"/>
      <w:lvlText w:val="%3"/>
      <w:lvlJc w:val="left"/>
      <w:pPr>
        <w:ind w:left="2160"/>
      </w:pPr>
      <w:rPr>
        <w:rFonts w:ascii="Century Gothic" w:eastAsia="Century Gothic" w:hAnsi="Century Gothic" w:cs="Century Gothic"/>
        <w:b/>
        <w:bCs/>
        <w:i w:val="0"/>
        <w:strike w:val="0"/>
        <w:dstrike w:val="0"/>
        <w:color w:val="000000"/>
        <w:sz w:val="22"/>
        <w:szCs w:val="22"/>
        <w:u w:val="none" w:color="000000"/>
        <w:bdr w:val="none" w:sz="0" w:space="0" w:color="auto"/>
        <w:shd w:val="clear" w:color="auto" w:fill="auto"/>
        <w:vertAlign w:val="baseline"/>
      </w:rPr>
    </w:lvl>
    <w:lvl w:ilvl="3" w:tplc="36CEFAE6">
      <w:start w:val="1"/>
      <w:numFmt w:val="decimal"/>
      <w:lvlText w:val="%4"/>
      <w:lvlJc w:val="left"/>
      <w:pPr>
        <w:ind w:left="2880"/>
      </w:pPr>
      <w:rPr>
        <w:rFonts w:ascii="Century Gothic" w:eastAsia="Century Gothic" w:hAnsi="Century Gothic" w:cs="Century Gothic"/>
        <w:b/>
        <w:bCs/>
        <w:i w:val="0"/>
        <w:strike w:val="0"/>
        <w:dstrike w:val="0"/>
        <w:color w:val="000000"/>
        <w:sz w:val="22"/>
        <w:szCs w:val="22"/>
        <w:u w:val="none" w:color="000000"/>
        <w:bdr w:val="none" w:sz="0" w:space="0" w:color="auto"/>
        <w:shd w:val="clear" w:color="auto" w:fill="auto"/>
        <w:vertAlign w:val="baseline"/>
      </w:rPr>
    </w:lvl>
    <w:lvl w:ilvl="4" w:tplc="D3FE4942">
      <w:start w:val="1"/>
      <w:numFmt w:val="lowerLetter"/>
      <w:lvlText w:val="%5"/>
      <w:lvlJc w:val="left"/>
      <w:pPr>
        <w:ind w:left="3600"/>
      </w:pPr>
      <w:rPr>
        <w:rFonts w:ascii="Century Gothic" w:eastAsia="Century Gothic" w:hAnsi="Century Gothic" w:cs="Century Gothic"/>
        <w:b/>
        <w:bCs/>
        <w:i w:val="0"/>
        <w:strike w:val="0"/>
        <w:dstrike w:val="0"/>
        <w:color w:val="000000"/>
        <w:sz w:val="22"/>
        <w:szCs w:val="22"/>
        <w:u w:val="none" w:color="000000"/>
        <w:bdr w:val="none" w:sz="0" w:space="0" w:color="auto"/>
        <w:shd w:val="clear" w:color="auto" w:fill="auto"/>
        <w:vertAlign w:val="baseline"/>
      </w:rPr>
    </w:lvl>
    <w:lvl w:ilvl="5" w:tplc="F9584692">
      <w:start w:val="1"/>
      <w:numFmt w:val="lowerRoman"/>
      <w:lvlText w:val="%6"/>
      <w:lvlJc w:val="left"/>
      <w:pPr>
        <w:ind w:left="4320"/>
      </w:pPr>
      <w:rPr>
        <w:rFonts w:ascii="Century Gothic" w:eastAsia="Century Gothic" w:hAnsi="Century Gothic" w:cs="Century Gothic"/>
        <w:b/>
        <w:bCs/>
        <w:i w:val="0"/>
        <w:strike w:val="0"/>
        <w:dstrike w:val="0"/>
        <w:color w:val="000000"/>
        <w:sz w:val="22"/>
        <w:szCs w:val="22"/>
        <w:u w:val="none" w:color="000000"/>
        <w:bdr w:val="none" w:sz="0" w:space="0" w:color="auto"/>
        <w:shd w:val="clear" w:color="auto" w:fill="auto"/>
        <w:vertAlign w:val="baseline"/>
      </w:rPr>
    </w:lvl>
    <w:lvl w:ilvl="6" w:tplc="CBB0BB1C">
      <w:start w:val="1"/>
      <w:numFmt w:val="decimal"/>
      <w:lvlText w:val="%7"/>
      <w:lvlJc w:val="left"/>
      <w:pPr>
        <w:ind w:left="5040"/>
      </w:pPr>
      <w:rPr>
        <w:rFonts w:ascii="Century Gothic" w:eastAsia="Century Gothic" w:hAnsi="Century Gothic" w:cs="Century Gothic"/>
        <w:b/>
        <w:bCs/>
        <w:i w:val="0"/>
        <w:strike w:val="0"/>
        <w:dstrike w:val="0"/>
        <w:color w:val="000000"/>
        <w:sz w:val="22"/>
        <w:szCs w:val="22"/>
        <w:u w:val="none" w:color="000000"/>
        <w:bdr w:val="none" w:sz="0" w:space="0" w:color="auto"/>
        <w:shd w:val="clear" w:color="auto" w:fill="auto"/>
        <w:vertAlign w:val="baseline"/>
      </w:rPr>
    </w:lvl>
    <w:lvl w:ilvl="7" w:tplc="AA0CFDC2">
      <w:start w:val="1"/>
      <w:numFmt w:val="lowerLetter"/>
      <w:lvlText w:val="%8"/>
      <w:lvlJc w:val="left"/>
      <w:pPr>
        <w:ind w:left="5760"/>
      </w:pPr>
      <w:rPr>
        <w:rFonts w:ascii="Century Gothic" w:eastAsia="Century Gothic" w:hAnsi="Century Gothic" w:cs="Century Gothic"/>
        <w:b/>
        <w:bCs/>
        <w:i w:val="0"/>
        <w:strike w:val="0"/>
        <w:dstrike w:val="0"/>
        <w:color w:val="000000"/>
        <w:sz w:val="22"/>
        <w:szCs w:val="22"/>
        <w:u w:val="none" w:color="000000"/>
        <w:bdr w:val="none" w:sz="0" w:space="0" w:color="auto"/>
        <w:shd w:val="clear" w:color="auto" w:fill="auto"/>
        <w:vertAlign w:val="baseline"/>
      </w:rPr>
    </w:lvl>
    <w:lvl w:ilvl="8" w:tplc="B06CB038">
      <w:start w:val="1"/>
      <w:numFmt w:val="lowerRoman"/>
      <w:lvlText w:val="%9"/>
      <w:lvlJc w:val="left"/>
      <w:pPr>
        <w:ind w:left="6480"/>
      </w:pPr>
      <w:rPr>
        <w:rFonts w:ascii="Century Gothic" w:eastAsia="Century Gothic" w:hAnsi="Century Gothic" w:cs="Century Gothic"/>
        <w:b/>
        <w:bCs/>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50035252"/>
    <w:multiLevelType w:val="hybridMultilevel"/>
    <w:tmpl w:val="BB12577C"/>
    <w:lvl w:ilvl="0" w:tplc="A4967FBC">
      <w:start w:val="4"/>
      <w:numFmt w:val="lowerLetter"/>
      <w:lvlText w:val="%1)"/>
      <w:lvlJc w:val="left"/>
      <w:pPr>
        <w:ind w:left="985"/>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1" w:tplc="ABF8EF3E">
      <w:start w:val="1"/>
      <w:numFmt w:val="lowerLetter"/>
      <w:lvlText w:val="%2"/>
      <w:lvlJc w:val="left"/>
      <w:pPr>
        <w:ind w:left="1800"/>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2" w:tplc="9EAEF828">
      <w:start w:val="1"/>
      <w:numFmt w:val="lowerRoman"/>
      <w:lvlText w:val="%3"/>
      <w:lvlJc w:val="left"/>
      <w:pPr>
        <w:ind w:left="2520"/>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3" w:tplc="A99EAF5A">
      <w:start w:val="1"/>
      <w:numFmt w:val="decimal"/>
      <w:lvlText w:val="%4"/>
      <w:lvlJc w:val="left"/>
      <w:pPr>
        <w:ind w:left="3240"/>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4" w:tplc="9C5C19C8">
      <w:start w:val="1"/>
      <w:numFmt w:val="lowerLetter"/>
      <w:lvlText w:val="%5"/>
      <w:lvlJc w:val="left"/>
      <w:pPr>
        <w:ind w:left="3960"/>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5" w:tplc="555C067E">
      <w:start w:val="1"/>
      <w:numFmt w:val="lowerRoman"/>
      <w:lvlText w:val="%6"/>
      <w:lvlJc w:val="left"/>
      <w:pPr>
        <w:ind w:left="4680"/>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6" w:tplc="9000B4C0">
      <w:start w:val="1"/>
      <w:numFmt w:val="decimal"/>
      <w:lvlText w:val="%7"/>
      <w:lvlJc w:val="left"/>
      <w:pPr>
        <w:ind w:left="5400"/>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7" w:tplc="A85666B2">
      <w:start w:val="1"/>
      <w:numFmt w:val="lowerLetter"/>
      <w:lvlText w:val="%8"/>
      <w:lvlJc w:val="left"/>
      <w:pPr>
        <w:ind w:left="6120"/>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8" w:tplc="520E3704">
      <w:start w:val="1"/>
      <w:numFmt w:val="lowerRoman"/>
      <w:lvlText w:val="%9"/>
      <w:lvlJc w:val="left"/>
      <w:pPr>
        <w:ind w:left="6840"/>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abstractNum>
  <w:abstractNum w:abstractNumId="24" w15:restartNumberingAfterBreak="0">
    <w:nsid w:val="51F73E39"/>
    <w:multiLevelType w:val="hybridMultilevel"/>
    <w:tmpl w:val="CDDE74AA"/>
    <w:lvl w:ilvl="0" w:tplc="240A0001">
      <w:start w:val="1"/>
      <w:numFmt w:val="bullet"/>
      <w:lvlText w:val=""/>
      <w:lvlJc w:val="left"/>
      <w:pPr>
        <w:ind w:left="1240" w:hanging="360"/>
      </w:pPr>
      <w:rPr>
        <w:rFonts w:ascii="Symbol" w:hAnsi="Symbol" w:hint="default"/>
      </w:rPr>
    </w:lvl>
    <w:lvl w:ilvl="1" w:tplc="240A0003" w:tentative="1">
      <w:start w:val="1"/>
      <w:numFmt w:val="bullet"/>
      <w:lvlText w:val="o"/>
      <w:lvlJc w:val="left"/>
      <w:pPr>
        <w:ind w:left="1960" w:hanging="360"/>
      </w:pPr>
      <w:rPr>
        <w:rFonts w:ascii="Courier New" w:hAnsi="Courier New" w:cs="Courier New" w:hint="default"/>
      </w:rPr>
    </w:lvl>
    <w:lvl w:ilvl="2" w:tplc="240A0005" w:tentative="1">
      <w:start w:val="1"/>
      <w:numFmt w:val="bullet"/>
      <w:lvlText w:val=""/>
      <w:lvlJc w:val="left"/>
      <w:pPr>
        <w:ind w:left="2680" w:hanging="360"/>
      </w:pPr>
      <w:rPr>
        <w:rFonts w:ascii="Wingdings" w:hAnsi="Wingdings" w:hint="default"/>
      </w:rPr>
    </w:lvl>
    <w:lvl w:ilvl="3" w:tplc="240A0001" w:tentative="1">
      <w:start w:val="1"/>
      <w:numFmt w:val="bullet"/>
      <w:lvlText w:val=""/>
      <w:lvlJc w:val="left"/>
      <w:pPr>
        <w:ind w:left="3400" w:hanging="360"/>
      </w:pPr>
      <w:rPr>
        <w:rFonts w:ascii="Symbol" w:hAnsi="Symbol" w:hint="default"/>
      </w:rPr>
    </w:lvl>
    <w:lvl w:ilvl="4" w:tplc="240A0003" w:tentative="1">
      <w:start w:val="1"/>
      <w:numFmt w:val="bullet"/>
      <w:lvlText w:val="o"/>
      <w:lvlJc w:val="left"/>
      <w:pPr>
        <w:ind w:left="4120" w:hanging="360"/>
      </w:pPr>
      <w:rPr>
        <w:rFonts w:ascii="Courier New" w:hAnsi="Courier New" w:cs="Courier New" w:hint="default"/>
      </w:rPr>
    </w:lvl>
    <w:lvl w:ilvl="5" w:tplc="240A0005" w:tentative="1">
      <w:start w:val="1"/>
      <w:numFmt w:val="bullet"/>
      <w:lvlText w:val=""/>
      <w:lvlJc w:val="left"/>
      <w:pPr>
        <w:ind w:left="4840" w:hanging="360"/>
      </w:pPr>
      <w:rPr>
        <w:rFonts w:ascii="Wingdings" w:hAnsi="Wingdings" w:hint="default"/>
      </w:rPr>
    </w:lvl>
    <w:lvl w:ilvl="6" w:tplc="240A0001" w:tentative="1">
      <w:start w:val="1"/>
      <w:numFmt w:val="bullet"/>
      <w:lvlText w:val=""/>
      <w:lvlJc w:val="left"/>
      <w:pPr>
        <w:ind w:left="5560" w:hanging="360"/>
      </w:pPr>
      <w:rPr>
        <w:rFonts w:ascii="Symbol" w:hAnsi="Symbol" w:hint="default"/>
      </w:rPr>
    </w:lvl>
    <w:lvl w:ilvl="7" w:tplc="240A0003" w:tentative="1">
      <w:start w:val="1"/>
      <w:numFmt w:val="bullet"/>
      <w:lvlText w:val="o"/>
      <w:lvlJc w:val="left"/>
      <w:pPr>
        <w:ind w:left="6280" w:hanging="360"/>
      </w:pPr>
      <w:rPr>
        <w:rFonts w:ascii="Courier New" w:hAnsi="Courier New" w:cs="Courier New" w:hint="default"/>
      </w:rPr>
    </w:lvl>
    <w:lvl w:ilvl="8" w:tplc="240A0005" w:tentative="1">
      <w:start w:val="1"/>
      <w:numFmt w:val="bullet"/>
      <w:lvlText w:val=""/>
      <w:lvlJc w:val="left"/>
      <w:pPr>
        <w:ind w:left="7000" w:hanging="360"/>
      </w:pPr>
      <w:rPr>
        <w:rFonts w:ascii="Wingdings" w:hAnsi="Wingdings" w:hint="default"/>
      </w:rPr>
    </w:lvl>
  </w:abstractNum>
  <w:abstractNum w:abstractNumId="25" w15:restartNumberingAfterBreak="0">
    <w:nsid w:val="573E205B"/>
    <w:multiLevelType w:val="hybridMultilevel"/>
    <w:tmpl w:val="1E726F90"/>
    <w:lvl w:ilvl="0" w:tplc="318AFCF6">
      <w:start w:val="6"/>
      <w:numFmt w:val="bullet"/>
      <w:lvlText w:val=""/>
      <w:lvlJc w:val="left"/>
      <w:pPr>
        <w:ind w:left="836" w:hanging="360"/>
      </w:pPr>
      <w:rPr>
        <w:rFonts w:ascii="Symbol" w:eastAsia="Arial" w:hAnsi="Symbol" w:cs="Arial" w:hint="default"/>
      </w:rPr>
    </w:lvl>
    <w:lvl w:ilvl="1" w:tplc="240A0003" w:tentative="1">
      <w:start w:val="1"/>
      <w:numFmt w:val="bullet"/>
      <w:lvlText w:val="o"/>
      <w:lvlJc w:val="left"/>
      <w:pPr>
        <w:ind w:left="1556" w:hanging="360"/>
      </w:pPr>
      <w:rPr>
        <w:rFonts w:ascii="Courier New" w:hAnsi="Courier New" w:cs="Courier New" w:hint="default"/>
      </w:rPr>
    </w:lvl>
    <w:lvl w:ilvl="2" w:tplc="240A0005" w:tentative="1">
      <w:start w:val="1"/>
      <w:numFmt w:val="bullet"/>
      <w:lvlText w:val=""/>
      <w:lvlJc w:val="left"/>
      <w:pPr>
        <w:ind w:left="2276" w:hanging="360"/>
      </w:pPr>
      <w:rPr>
        <w:rFonts w:ascii="Wingdings" w:hAnsi="Wingdings" w:hint="default"/>
      </w:rPr>
    </w:lvl>
    <w:lvl w:ilvl="3" w:tplc="240A0001" w:tentative="1">
      <w:start w:val="1"/>
      <w:numFmt w:val="bullet"/>
      <w:lvlText w:val=""/>
      <w:lvlJc w:val="left"/>
      <w:pPr>
        <w:ind w:left="2996" w:hanging="360"/>
      </w:pPr>
      <w:rPr>
        <w:rFonts w:ascii="Symbol" w:hAnsi="Symbol" w:hint="default"/>
      </w:rPr>
    </w:lvl>
    <w:lvl w:ilvl="4" w:tplc="240A0003" w:tentative="1">
      <w:start w:val="1"/>
      <w:numFmt w:val="bullet"/>
      <w:lvlText w:val="o"/>
      <w:lvlJc w:val="left"/>
      <w:pPr>
        <w:ind w:left="3716" w:hanging="360"/>
      </w:pPr>
      <w:rPr>
        <w:rFonts w:ascii="Courier New" w:hAnsi="Courier New" w:cs="Courier New" w:hint="default"/>
      </w:rPr>
    </w:lvl>
    <w:lvl w:ilvl="5" w:tplc="240A0005" w:tentative="1">
      <w:start w:val="1"/>
      <w:numFmt w:val="bullet"/>
      <w:lvlText w:val=""/>
      <w:lvlJc w:val="left"/>
      <w:pPr>
        <w:ind w:left="4436" w:hanging="360"/>
      </w:pPr>
      <w:rPr>
        <w:rFonts w:ascii="Wingdings" w:hAnsi="Wingdings" w:hint="default"/>
      </w:rPr>
    </w:lvl>
    <w:lvl w:ilvl="6" w:tplc="240A0001" w:tentative="1">
      <w:start w:val="1"/>
      <w:numFmt w:val="bullet"/>
      <w:lvlText w:val=""/>
      <w:lvlJc w:val="left"/>
      <w:pPr>
        <w:ind w:left="5156" w:hanging="360"/>
      </w:pPr>
      <w:rPr>
        <w:rFonts w:ascii="Symbol" w:hAnsi="Symbol" w:hint="default"/>
      </w:rPr>
    </w:lvl>
    <w:lvl w:ilvl="7" w:tplc="240A0003" w:tentative="1">
      <w:start w:val="1"/>
      <w:numFmt w:val="bullet"/>
      <w:lvlText w:val="o"/>
      <w:lvlJc w:val="left"/>
      <w:pPr>
        <w:ind w:left="5876" w:hanging="360"/>
      </w:pPr>
      <w:rPr>
        <w:rFonts w:ascii="Courier New" w:hAnsi="Courier New" w:cs="Courier New" w:hint="default"/>
      </w:rPr>
    </w:lvl>
    <w:lvl w:ilvl="8" w:tplc="240A0005" w:tentative="1">
      <w:start w:val="1"/>
      <w:numFmt w:val="bullet"/>
      <w:lvlText w:val=""/>
      <w:lvlJc w:val="left"/>
      <w:pPr>
        <w:ind w:left="6596" w:hanging="360"/>
      </w:pPr>
      <w:rPr>
        <w:rFonts w:ascii="Wingdings" w:hAnsi="Wingdings" w:hint="default"/>
      </w:rPr>
    </w:lvl>
  </w:abstractNum>
  <w:abstractNum w:abstractNumId="26" w15:restartNumberingAfterBreak="0">
    <w:nsid w:val="5A78723C"/>
    <w:multiLevelType w:val="hybridMultilevel"/>
    <w:tmpl w:val="5A141A92"/>
    <w:lvl w:ilvl="0" w:tplc="C1963A82">
      <w:start w:val="5"/>
      <w:numFmt w:val="decimal"/>
      <w:lvlText w:val="%1."/>
      <w:lvlJc w:val="left"/>
      <w:pPr>
        <w:ind w:left="703"/>
      </w:pPr>
      <w:rPr>
        <w:rFonts w:ascii="Century Gothic" w:eastAsia="Century Gothic" w:hAnsi="Century Gothic" w:cs="Century Gothic"/>
        <w:b/>
        <w:bCs/>
        <w:i/>
        <w:iCs/>
        <w:strike w:val="0"/>
        <w:dstrike w:val="0"/>
        <w:color w:val="000000"/>
        <w:sz w:val="22"/>
        <w:szCs w:val="22"/>
        <w:u w:val="single" w:color="000000"/>
        <w:bdr w:val="none" w:sz="0" w:space="0" w:color="auto"/>
        <w:shd w:val="clear" w:color="auto" w:fill="auto"/>
        <w:vertAlign w:val="baseline"/>
      </w:rPr>
    </w:lvl>
    <w:lvl w:ilvl="1" w:tplc="FAAE7C80">
      <w:start w:val="1"/>
      <w:numFmt w:val="lowerLetter"/>
      <w:lvlText w:val="%2"/>
      <w:lvlJc w:val="left"/>
      <w:pPr>
        <w:ind w:left="1080"/>
      </w:pPr>
      <w:rPr>
        <w:rFonts w:ascii="Century Gothic" w:eastAsia="Century Gothic" w:hAnsi="Century Gothic" w:cs="Century Gothic"/>
        <w:b/>
        <w:bCs/>
        <w:i/>
        <w:iCs/>
        <w:strike w:val="0"/>
        <w:dstrike w:val="0"/>
        <w:color w:val="000000"/>
        <w:sz w:val="22"/>
        <w:szCs w:val="22"/>
        <w:u w:val="single" w:color="000000"/>
        <w:bdr w:val="none" w:sz="0" w:space="0" w:color="auto"/>
        <w:shd w:val="clear" w:color="auto" w:fill="auto"/>
        <w:vertAlign w:val="baseline"/>
      </w:rPr>
    </w:lvl>
    <w:lvl w:ilvl="2" w:tplc="DA0EFCA0">
      <w:start w:val="1"/>
      <w:numFmt w:val="lowerRoman"/>
      <w:lvlText w:val="%3"/>
      <w:lvlJc w:val="left"/>
      <w:pPr>
        <w:ind w:left="1800"/>
      </w:pPr>
      <w:rPr>
        <w:rFonts w:ascii="Century Gothic" w:eastAsia="Century Gothic" w:hAnsi="Century Gothic" w:cs="Century Gothic"/>
        <w:b/>
        <w:bCs/>
        <w:i/>
        <w:iCs/>
        <w:strike w:val="0"/>
        <w:dstrike w:val="0"/>
        <w:color w:val="000000"/>
        <w:sz w:val="22"/>
        <w:szCs w:val="22"/>
        <w:u w:val="single" w:color="000000"/>
        <w:bdr w:val="none" w:sz="0" w:space="0" w:color="auto"/>
        <w:shd w:val="clear" w:color="auto" w:fill="auto"/>
        <w:vertAlign w:val="baseline"/>
      </w:rPr>
    </w:lvl>
    <w:lvl w:ilvl="3" w:tplc="3710E384">
      <w:start w:val="1"/>
      <w:numFmt w:val="decimal"/>
      <w:lvlText w:val="%4"/>
      <w:lvlJc w:val="left"/>
      <w:pPr>
        <w:ind w:left="2520"/>
      </w:pPr>
      <w:rPr>
        <w:rFonts w:ascii="Century Gothic" w:eastAsia="Century Gothic" w:hAnsi="Century Gothic" w:cs="Century Gothic"/>
        <w:b/>
        <w:bCs/>
        <w:i/>
        <w:iCs/>
        <w:strike w:val="0"/>
        <w:dstrike w:val="0"/>
        <w:color w:val="000000"/>
        <w:sz w:val="22"/>
        <w:szCs w:val="22"/>
        <w:u w:val="single" w:color="000000"/>
        <w:bdr w:val="none" w:sz="0" w:space="0" w:color="auto"/>
        <w:shd w:val="clear" w:color="auto" w:fill="auto"/>
        <w:vertAlign w:val="baseline"/>
      </w:rPr>
    </w:lvl>
    <w:lvl w:ilvl="4" w:tplc="C6CCFA7A">
      <w:start w:val="1"/>
      <w:numFmt w:val="lowerLetter"/>
      <w:lvlText w:val="%5"/>
      <w:lvlJc w:val="left"/>
      <w:pPr>
        <w:ind w:left="3240"/>
      </w:pPr>
      <w:rPr>
        <w:rFonts w:ascii="Century Gothic" w:eastAsia="Century Gothic" w:hAnsi="Century Gothic" w:cs="Century Gothic"/>
        <w:b/>
        <w:bCs/>
        <w:i/>
        <w:iCs/>
        <w:strike w:val="0"/>
        <w:dstrike w:val="0"/>
        <w:color w:val="000000"/>
        <w:sz w:val="22"/>
        <w:szCs w:val="22"/>
        <w:u w:val="single" w:color="000000"/>
        <w:bdr w:val="none" w:sz="0" w:space="0" w:color="auto"/>
        <w:shd w:val="clear" w:color="auto" w:fill="auto"/>
        <w:vertAlign w:val="baseline"/>
      </w:rPr>
    </w:lvl>
    <w:lvl w:ilvl="5" w:tplc="A5DC676C">
      <w:start w:val="1"/>
      <w:numFmt w:val="lowerRoman"/>
      <w:lvlText w:val="%6"/>
      <w:lvlJc w:val="left"/>
      <w:pPr>
        <w:ind w:left="3960"/>
      </w:pPr>
      <w:rPr>
        <w:rFonts w:ascii="Century Gothic" w:eastAsia="Century Gothic" w:hAnsi="Century Gothic" w:cs="Century Gothic"/>
        <w:b/>
        <w:bCs/>
        <w:i/>
        <w:iCs/>
        <w:strike w:val="0"/>
        <w:dstrike w:val="0"/>
        <w:color w:val="000000"/>
        <w:sz w:val="22"/>
        <w:szCs w:val="22"/>
        <w:u w:val="single" w:color="000000"/>
        <w:bdr w:val="none" w:sz="0" w:space="0" w:color="auto"/>
        <w:shd w:val="clear" w:color="auto" w:fill="auto"/>
        <w:vertAlign w:val="baseline"/>
      </w:rPr>
    </w:lvl>
    <w:lvl w:ilvl="6" w:tplc="26A4B446">
      <w:start w:val="1"/>
      <w:numFmt w:val="decimal"/>
      <w:lvlText w:val="%7"/>
      <w:lvlJc w:val="left"/>
      <w:pPr>
        <w:ind w:left="4680"/>
      </w:pPr>
      <w:rPr>
        <w:rFonts w:ascii="Century Gothic" w:eastAsia="Century Gothic" w:hAnsi="Century Gothic" w:cs="Century Gothic"/>
        <w:b/>
        <w:bCs/>
        <w:i/>
        <w:iCs/>
        <w:strike w:val="0"/>
        <w:dstrike w:val="0"/>
        <w:color w:val="000000"/>
        <w:sz w:val="22"/>
        <w:szCs w:val="22"/>
        <w:u w:val="single" w:color="000000"/>
        <w:bdr w:val="none" w:sz="0" w:space="0" w:color="auto"/>
        <w:shd w:val="clear" w:color="auto" w:fill="auto"/>
        <w:vertAlign w:val="baseline"/>
      </w:rPr>
    </w:lvl>
    <w:lvl w:ilvl="7" w:tplc="661CBF54">
      <w:start w:val="1"/>
      <w:numFmt w:val="lowerLetter"/>
      <w:lvlText w:val="%8"/>
      <w:lvlJc w:val="left"/>
      <w:pPr>
        <w:ind w:left="5400"/>
      </w:pPr>
      <w:rPr>
        <w:rFonts w:ascii="Century Gothic" w:eastAsia="Century Gothic" w:hAnsi="Century Gothic" w:cs="Century Gothic"/>
        <w:b/>
        <w:bCs/>
        <w:i/>
        <w:iCs/>
        <w:strike w:val="0"/>
        <w:dstrike w:val="0"/>
        <w:color w:val="000000"/>
        <w:sz w:val="22"/>
        <w:szCs w:val="22"/>
        <w:u w:val="single" w:color="000000"/>
        <w:bdr w:val="none" w:sz="0" w:space="0" w:color="auto"/>
        <w:shd w:val="clear" w:color="auto" w:fill="auto"/>
        <w:vertAlign w:val="baseline"/>
      </w:rPr>
    </w:lvl>
    <w:lvl w:ilvl="8" w:tplc="6BBA1960">
      <w:start w:val="1"/>
      <w:numFmt w:val="lowerRoman"/>
      <w:lvlText w:val="%9"/>
      <w:lvlJc w:val="left"/>
      <w:pPr>
        <w:ind w:left="6120"/>
      </w:pPr>
      <w:rPr>
        <w:rFonts w:ascii="Century Gothic" w:eastAsia="Century Gothic" w:hAnsi="Century Gothic" w:cs="Century Gothic"/>
        <w:b/>
        <w:bCs/>
        <w:i/>
        <w:iCs/>
        <w:strike w:val="0"/>
        <w:dstrike w:val="0"/>
        <w:color w:val="000000"/>
        <w:sz w:val="22"/>
        <w:szCs w:val="22"/>
        <w:u w:val="single" w:color="000000"/>
        <w:bdr w:val="none" w:sz="0" w:space="0" w:color="auto"/>
        <w:shd w:val="clear" w:color="auto" w:fill="auto"/>
        <w:vertAlign w:val="baseline"/>
      </w:rPr>
    </w:lvl>
  </w:abstractNum>
  <w:abstractNum w:abstractNumId="27" w15:restartNumberingAfterBreak="0">
    <w:nsid w:val="5C8806BE"/>
    <w:multiLevelType w:val="hybridMultilevel"/>
    <w:tmpl w:val="5F163118"/>
    <w:lvl w:ilvl="0" w:tplc="240A0017">
      <w:start w:val="1"/>
      <w:numFmt w:val="lowerLetter"/>
      <w:lvlText w:val="%1)"/>
      <w:lvlJc w:val="left"/>
      <w:pPr>
        <w:ind w:left="949" w:hanging="360"/>
      </w:pPr>
      <w:rPr>
        <w:rFonts w:hint="default"/>
      </w:rPr>
    </w:lvl>
    <w:lvl w:ilvl="1" w:tplc="240A0019" w:tentative="1">
      <w:start w:val="1"/>
      <w:numFmt w:val="lowerLetter"/>
      <w:lvlText w:val="%2."/>
      <w:lvlJc w:val="left"/>
      <w:pPr>
        <w:ind w:left="1669" w:hanging="360"/>
      </w:pPr>
    </w:lvl>
    <w:lvl w:ilvl="2" w:tplc="240A001B" w:tentative="1">
      <w:start w:val="1"/>
      <w:numFmt w:val="lowerRoman"/>
      <w:lvlText w:val="%3."/>
      <w:lvlJc w:val="right"/>
      <w:pPr>
        <w:ind w:left="2389" w:hanging="180"/>
      </w:pPr>
    </w:lvl>
    <w:lvl w:ilvl="3" w:tplc="240A000F" w:tentative="1">
      <w:start w:val="1"/>
      <w:numFmt w:val="decimal"/>
      <w:lvlText w:val="%4."/>
      <w:lvlJc w:val="left"/>
      <w:pPr>
        <w:ind w:left="3109" w:hanging="360"/>
      </w:pPr>
    </w:lvl>
    <w:lvl w:ilvl="4" w:tplc="240A0019" w:tentative="1">
      <w:start w:val="1"/>
      <w:numFmt w:val="lowerLetter"/>
      <w:lvlText w:val="%5."/>
      <w:lvlJc w:val="left"/>
      <w:pPr>
        <w:ind w:left="3829" w:hanging="360"/>
      </w:pPr>
    </w:lvl>
    <w:lvl w:ilvl="5" w:tplc="240A001B" w:tentative="1">
      <w:start w:val="1"/>
      <w:numFmt w:val="lowerRoman"/>
      <w:lvlText w:val="%6."/>
      <w:lvlJc w:val="right"/>
      <w:pPr>
        <w:ind w:left="4549" w:hanging="180"/>
      </w:pPr>
    </w:lvl>
    <w:lvl w:ilvl="6" w:tplc="240A000F" w:tentative="1">
      <w:start w:val="1"/>
      <w:numFmt w:val="decimal"/>
      <w:lvlText w:val="%7."/>
      <w:lvlJc w:val="left"/>
      <w:pPr>
        <w:ind w:left="5269" w:hanging="360"/>
      </w:pPr>
    </w:lvl>
    <w:lvl w:ilvl="7" w:tplc="240A0019" w:tentative="1">
      <w:start w:val="1"/>
      <w:numFmt w:val="lowerLetter"/>
      <w:lvlText w:val="%8."/>
      <w:lvlJc w:val="left"/>
      <w:pPr>
        <w:ind w:left="5989" w:hanging="360"/>
      </w:pPr>
    </w:lvl>
    <w:lvl w:ilvl="8" w:tplc="240A001B" w:tentative="1">
      <w:start w:val="1"/>
      <w:numFmt w:val="lowerRoman"/>
      <w:lvlText w:val="%9."/>
      <w:lvlJc w:val="right"/>
      <w:pPr>
        <w:ind w:left="6709" w:hanging="180"/>
      </w:pPr>
    </w:lvl>
  </w:abstractNum>
  <w:abstractNum w:abstractNumId="28" w15:restartNumberingAfterBreak="0">
    <w:nsid w:val="5EB45E56"/>
    <w:multiLevelType w:val="hybridMultilevel"/>
    <w:tmpl w:val="8668ADC0"/>
    <w:lvl w:ilvl="0" w:tplc="240A0001">
      <w:start w:val="1"/>
      <w:numFmt w:val="bullet"/>
      <w:lvlText w:val=""/>
      <w:lvlJc w:val="left"/>
      <w:pPr>
        <w:ind w:left="1196" w:hanging="360"/>
      </w:pPr>
      <w:rPr>
        <w:rFonts w:ascii="Symbol" w:hAnsi="Symbol" w:hint="default"/>
      </w:rPr>
    </w:lvl>
    <w:lvl w:ilvl="1" w:tplc="240A0003" w:tentative="1">
      <w:start w:val="1"/>
      <w:numFmt w:val="bullet"/>
      <w:lvlText w:val="o"/>
      <w:lvlJc w:val="left"/>
      <w:pPr>
        <w:ind w:left="1916" w:hanging="360"/>
      </w:pPr>
      <w:rPr>
        <w:rFonts w:ascii="Courier New" w:hAnsi="Courier New" w:cs="Courier New" w:hint="default"/>
      </w:rPr>
    </w:lvl>
    <w:lvl w:ilvl="2" w:tplc="240A0005" w:tentative="1">
      <w:start w:val="1"/>
      <w:numFmt w:val="bullet"/>
      <w:lvlText w:val=""/>
      <w:lvlJc w:val="left"/>
      <w:pPr>
        <w:ind w:left="2636" w:hanging="360"/>
      </w:pPr>
      <w:rPr>
        <w:rFonts w:ascii="Wingdings" w:hAnsi="Wingdings" w:hint="default"/>
      </w:rPr>
    </w:lvl>
    <w:lvl w:ilvl="3" w:tplc="240A0001" w:tentative="1">
      <w:start w:val="1"/>
      <w:numFmt w:val="bullet"/>
      <w:lvlText w:val=""/>
      <w:lvlJc w:val="left"/>
      <w:pPr>
        <w:ind w:left="3356" w:hanging="360"/>
      </w:pPr>
      <w:rPr>
        <w:rFonts w:ascii="Symbol" w:hAnsi="Symbol" w:hint="default"/>
      </w:rPr>
    </w:lvl>
    <w:lvl w:ilvl="4" w:tplc="240A0003" w:tentative="1">
      <w:start w:val="1"/>
      <w:numFmt w:val="bullet"/>
      <w:lvlText w:val="o"/>
      <w:lvlJc w:val="left"/>
      <w:pPr>
        <w:ind w:left="4076" w:hanging="360"/>
      </w:pPr>
      <w:rPr>
        <w:rFonts w:ascii="Courier New" w:hAnsi="Courier New" w:cs="Courier New" w:hint="default"/>
      </w:rPr>
    </w:lvl>
    <w:lvl w:ilvl="5" w:tplc="240A0005" w:tentative="1">
      <w:start w:val="1"/>
      <w:numFmt w:val="bullet"/>
      <w:lvlText w:val=""/>
      <w:lvlJc w:val="left"/>
      <w:pPr>
        <w:ind w:left="4796" w:hanging="360"/>
      </w:pPr>
      <w:rPr>
        <w:rFonts w:ascii="Wingdings" w:hAnsi="Wingdings" w:hint="default"/>
      </w:rPr>
    </w:lvl>
    <w:lvl w:ilvl="6" w:tplc="240A0001" w:tentative="1">
      <w:start w:val="1"/>
      <w:numFmt w:val="bullet"/>
      <w:lvlText w:val=""/>
      <w:lvlJc w:val="left"/>
      <w:pPr>
        <w:ind w:left="5516" w:hanging="360"/>
      </w:pPr>
      <w:rPr>
        <w:rFonts w:ascii="Symbol" w:hAnsi="Symbol" w:hint="default"/>
      </w:rPr>
    </w:lvl>
    <w:lvl w:ilvl="7" w:tplc="240A0003" w:tentative="1">
      <w:start w:val="1"/>
      <w:numFmt w:val="bullet"/>
      <w:lvlText w:val="o"/>
      <w:lvlJc w:val="left"/>
      <w:pPr>
        <w:ind w:left="6236" w:hanging="360"/>
      </w:pPr>
      <w:rPr>
        <w:rFonts w:ascii="Courier New" w:hAnsi="Courier New" w:cs="Courier New" w:hint="default"/>
      </w:rPr>
    </w:lvl>
    <w:lvl w:ilvl="8" w:tplc="240A0005" w:tentative="1">
      <w:start w:val="1"/>
      <w:numFmt w:val="bullet"/>
      <w:lvlText w:val=""/>
      <w:lvlJc w:val="left"/>
      <w:pPr>
        <w:ind w:left="6956" w:hanging="360"/>
      </w:pPr>
      <w:rPr>
        <w:rFonts w:ascii="Wingdings" w:hAnsi="Wingdings" w:hint="default"/>
      </w:rPr>
    </w:lvl>
  </w:abstractNum>
  <w:abstractNum w:abstractNumId="29" w15:restartNumberingAfterBreak="0">
    <w:nsid w:val="5F702854"/>
    <w:multiLevelType w:val="hybridMultilevel"/>
    <w:tmpl w:val="FF3E8C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62616F33"/>
    <w:multiLevelType w:val="hybridMultilevel"/>
    <w:tmpl w:val="770A609E"/>
    <w:lvl w:ilvl="0" w:tplc="240A0001">
      <w:start w:val="1"/>
      <w:numFmt w:val="bullet"/>
      <w:lvlText w:val=""/>
      <w:lvlJc w:val="left"/>
      <w:pPr>
        <w:ind w:left="1196" w:hanging="360"/>
      </w:pPr>
      <w:rPr>
        <w:rFonts w:ascii="Symbol" w:hAnsi="Symbol" w:hint="default"/>
      </w:rPr>
    </w:lvl>
    <w:lvl w:ilvl="1" w:tplc="240A0003" w:tentative="1">
      <w:start w:val="1"/>
      <w:numFmt w:val="bullet"/>
      <w:lvlText w:val="o"/>
      <w:lvlJc w:val="left"/>
      <w:pPr>
        <w:ind w:left="1916" w:hanging="360"/>
      </w:pPr>
      <w:rPr>
        <w:rFonts w:ascii="Courier New" w:hAnsi="Courier New" w:cs="Courier New" w:hint="default"/>
      </w:rPr>
    </w:lvl>
    <w:lvl w:ilvl="2" w:tplc="240A0005" w:tentative="1">
      <w:start w:val="1"/>
      <w:numFmt w:val="bullet"/>
      <w:lvlText w:val=""/>
      <w:lvlJc w:val="left"/>
      <w:pPr>
        <w:ind w:left="2636" w:hanging="360"/>
      </w:pPr>
      <w:rPr>
        <w:rFonts w:ascii="Wingdings" w:hAnsi="Wingdings" w:hint="default"/>
      </w:rPr>
    </w:lvl>
    <w:lvl w:ilvl="3" w:tplc="240A0001" w:tentative="1">
      <w:start w:val="1"/>
      <w:numFmt w:val="bullet"/>
      <w:lvlText w:val=""/>
      <w:lvlJc w:val="left"/>
      <w:pPr>
        <w:ind w:left="3356" w:hanging="360"/>
      </w:pPr>
      <w:rPr>
        <w:rFonts w:ascii="Symbol" w:hAnsi="Symbol" w:hint="default"/>
      </w:rPr>
    </w:lvl>
    <w:lvl w:ilvl="4" w:tplc="240A0003" w:tentative="1">
      <w:start w:val="1"/>
      <w:numFmt w:val="bullet"/>
      <w:lvlText w:val="o"/>
      <w:lvlJc w:val="left"/>
      <w:pPr>
        <w:ind w:left="4076" w:hanging="360"/>
      </w:pPr>
      <w:rPr>
        <w:rFonts w:ascii="Courier New" w:hAnsi="Courier New" w:cs="Courier New" w:hint="default"/>
      </w:rPr>
    </w:lvl>
    <w:lvl w:ilvl="5" w:tplc="240A0005" w:tentative="1">
      <w:start w:val="1"/>
      <w:numFmt w:val="bullet"/>
      <w:lvlText w:val=""/>
      <w:lvlJc w:val="left"/>
      <w:pPr>
        <w:ind w:left="4796" w:hanging="360"/>
      </w:pPr>
      <w:rPr>
        <w:rFonts w:ascii="Wingdings" w:hAnsi="Wingdings" w:hint="default"/>
      </w:rPr>
    </w:lvl>
    <w:lvl w:ilvl="6" w:tplc="240A0001" w:tentative="1">
      <w:start w:val="1"/>
      <w:numFmt w:val="bullet"/>
      <w:lvlText w:val=""/>
      <w:lvlJc w:val="left"/>
      <w:pPr>
        <w:ind w:left="5516" w:hanging="360"/>
      </w:pPr>
      <w:rPr>
        <w:rFonts w:ascii="Symbol" w:hAnsi="Symbol" w:hint="default"/>
      </w:rPr>
    </w:lvl>
    <w:lvl w:ilvl="7" w:tplc="240A0003" w:tentative="1">
      <w:start w:val="1"/>
      <w:numFmt w:val="bullet"/>
      <w:lvlText w:val="o"/>
      <w:lvlJc w:val="left"/>
      <w:pPr>
        <w:ind w:left="6236" w:hanging="360"/>
      </w:pPr>
      <w:rPr>
        <w:rFonts w:ascii="Courier New" w:hAnsi="Courier New" w:cs="Courier New" w:hint="default"/>
      </w:rPr>
    </w:lvl>
    <w:lvl w:ilvl="8" w:tplc="240A0005" w:tentative="1">
      <w:start w:val="1"/>
      <w:numFmt w:val="bullet"/>
      <w:lvlText w:val=""/>
      <w:lvlJc w:val="left"/>
      <w:pPr>
        <w:ind w:left="6956" w:hanging="360"/>
      </w:pPr>
      <w:rPr>
        <w:rFonts w:ascii="Wingdings" w:hAnsi="Wingdings" w:hint="default"/>
      </w:rPr>
    </w:lvl>
  </w:abstractNum>
  <w:abstractNum w:abstractNumId="31" w15:restartNumberingAfterBreak="0">
    <w:nsid w:val="65A06A39"/>
    <w:multiLevelType w:val="hybridMultilevel"/>
    <w:tmpl w:val="AAAC2E02"/>
    <w:lvl w:ilvl="0" w:tplc="6DFCFDCC">
      <w:start w:val="1"/>
      <w:numFmt w:val="lowerLetter"/>
      <w:lvlText w:val="%1)"/>
      <w:lvlJc w:val="left"/>
      <w:pPr>
        <w:ind w:left="984"/>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1" w:tplc="39CA4E60">
      <w:start w:val="1"/>
      <w:numFmt w:val="lowerLetter"/>
      <w:lvlText w:val="%2"/>
      <w:lvlJc w:val="left"/>
      <w:pPr>
        <w:ind w:left="1800"/>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2" w:tplc="42A4EF9C">
      <w:start w:val="1"/>
      <w:numFmt w:val="lowerRoman"/>
      <w:lvlText w:val="%3"/>
      <w:lvlJc w:val="left"/>
      <w:pPr>
        <w:ind w:left="2520"/>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3" w:tplc="BB88C030">
      <w:start w:val="1"/>
      <w:numFmt w:val="decimal"/>
      <w:lvlText w:val="%4"/>
      <w:lvlJc w:val="left"/>
      <w:pPr>
        <w:ind w:left="3240"/>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4" w:tplc="A61022EE">
      <w:start w:val="1"/>
      <w:numFmt w:val="lowerLetter"/>
      <w:lvlText w:val="%5"/>
      <w:lvlJc w:val="left"/>
      <w:pPr>
        <w:ind w:left="3960"/>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5" w:tplc="5DEE09B8">
      <w:start w:val="1"/>
      <w:numFmt w:val="lowerRoman"/>
      <w:lvlText w:val="%6"/>
      <w:lvlJc w:val="left"/>
      <w:pPr>
        <w:ind w:left="4680"/>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6" w:tplc="20AA5AB4">
      <w:start w:val="1"/>
      <w:numFmt w:val="decimal"/>
      <w:lvlText w:val="%7"/>
      <w:lvlJc w:val="left"/>
      <w:pPr>
        <w:ind w:left="5400"/>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7" w:tplc="2EE8D220">
      <w:start w:val="1"/>
      <w:numFmt w:val="lowerLetter"/>
      <w:lvlText w:val="%8"/>
      <w:lvlJc w:val="left"/>
      <w:pPr>
        <w:ind w:left="6120"/>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lvl w:ilvl="8" w:tplc="8C422324">
      <w:start w:val="1"/>
      <w:numFmt w:val="lowerRoman"/>
      <w:lvlText w:val="%9"/>
      <w:lvlJc w:val="left"/>
      <w:pPr>
        <w:ind w:left="6840"/>
      </w:pPr>
      <w:rPr>
        <w:rFonts w:ascii="Century Gothic" w:eastAsia="Century Gothic" w:hAnsi="Century Gothic" w:cs="Century Gothic"/>
        <w:b w:val="0"/>
        <w:i/>
        <w:iCs/>
        <w:strike w:val="0"/>
        <w:dstrike w:val="0"/>
        <w:color w:val="000000"/>
        <w:sz w:val="21"/>
        <w:szCs w:val="21"/>
        <w:u w:val="none" w:color="000000"/>
        <w:bdr w:val="none" w:sz="0" w:space="0" w:color="auto"/>
        <w:shd w:val="clear" w:color="auto" w:fill="auto"/>
        <w:vertAlign w:val="baseline"/>
      </w:rPr>
    </w:lvl>
  </w:abstractNum>
  <w:abstractNum w:abstractNumId="32" w15:restartNumberingAfterBreak="0">
    <w:nsid w:val="6B9A3FC3"/>
    <w:multiLevelType w:val="hybridMultilevel"/>
    <w:tmpl w:val="B78C1742"/>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3" w15:restartNumberingAfterBreak="0">
    <w:nsid w:val="6C764208"/>
    <w:multiLevelType w:val="multilevel"/>
    <w:tmpl w:val="203AC0DE"/>
    <w:styleLink w:val="Listaactual2"/>
    <w:lvl w:ilvl="0">
      <w:start w:val="3"/>
      <w:numFmt w:val="decimal"/>
      <w:lvlText w:val="%1"/>
      <w:lvlJc w:val="left"/>
      <w:pPr>
        <w:ind w:left="2007" w:hanging="360"/>
      </w:pPr>
      <w:rPr>
        <w:rFonts w:hint="default"/>
      </w:rPr>
    </w:lvl>
    <w:lvl w:ilvl="1">
      <w:start w:val="7"/>
      <w:numFmt w:val="decimal"/>
      <w:isLgl/>
      <w:lvlText w:val="%1.%2."/>
      <w:lvlJc w:val="left"/>
      <w:pPr>
        <w:ind w:left="2037" w:hanging="390"/>
      </w:pPr>
      <w:rPr>
        <w:rFonts w:hint="default"/>
      </w:rPr>
    </w:lvl>
    <w:lvl w:ilvl="2">
      <w:start w:val="1"/>
      <w:numFmt w:val="decimal"/>
      <w:isLgl/>
      <w:lvlText w:val="%1.%2.%3."/>
      <w:lvlJc w:val="left"/>
      <w:pPr>
        <w:ind w:left="236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2727" w:hanging="1080"/>
      </w:pPr>
      <w:rPr>
        <w:rFonts w:hint="default"/>
      </w:rPr>
    </w:lvl>
    <w:lvl w:ilvl="5">
      <w:start w:val="1"/>
      <w:numFmt w:val="decimal"/>
      <w:isLgl/>
      <w:lvlText w:val="%1.%2.%3.%4.%5.%6."/>
      <w:lvlJc w:val="left"/>
      <w:pPr>
        <w:ind w:left="2727" w:hanging="1080"/>
      </w:pPr>
      <w:rPr>
        <w:rFonts w:hint="default"/>
      </w:rPr>
    </w:lvl>
    <w:lvl w:ilvl="6">
      <w:start w:val="1"/>
      <w:numFmt w:val="decimal"/>
      <w:isLgl/>
      <w:lvlText w:val="%1.%2.%3.%4.%5.%6.%7."/>
      <w:lvlJc w:val="left"/>
      <w:pPr>
        <w:ind w:left="2727" w:hanging="1080"/>
      </w:pPr>
      <w:rPr>
        <w:rFonts w:hint="default"/>
      </w:rPr>
    </w:lvl>
    <w:lvl w:ilvl="7">
      <w:start w:val="1"/>
      <w:numFmt w:val="decimal"/>
      <w:isLgl/>
      <w:lvlText w:val="%1.%2.%3.%4.%5.%6.%7.%8."/>
      <w:lvlJc w:val="left"/>
      <w:pPr>
        <w:ind w:left="3087" w:hanging="1440"/>
      </w:pPr>
      <w:rPr>
        <w:rFonts w:hint="default"/>
      </w:rPr>
    </w:lvl>
    <w:lvl w:ilvl="8">
      <w:start w:val="1"/>
      <w:numFmt w:val="decimal"/>
      <w:isLgl/>
      <w:lvlText w:val="%1.%2.%3.%4.%5.%6.%7.%8.%9."/>
      <w:lvlJc w:val="left"/>
      <w:pPr>
        <w:ind w:left="3087" w:hanging="1440"/>
      </w:pPr>
      <w:rPr>
        <w:rFonts w:hint="default"/>
      </w:rPr>
    </w:lvl>
  </w:abstractNum>
  <w:abstractNum w:abstractNumId="34" w15:restartNumberingAfterBreak="0">
    <w:nsid w:val="6E9A55B4"/>
    <w:multiLevelType w:val="hybridMultilevel"/>
    <w:tmpl w:val="9FC033CA"/>
    <w:lvl w:ilvl="0" w:tplc="124E782A">
      <w:start w:val="1"/>
      <w:numFmt w:val="bullet"/>
      <w:lvlText w:val="-"/>
      <w:lvlJc w:val="left"/>
      <w:pPr>
        <w:ind w:left="1306" w:hanging="3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240A0003" w:tentative="1">
      <w:start w:val="1"/>
      <w:numFmt w:val="bullet"/>
      <w:lvlText w:val="o"/>
      <w:lvlJc w:val="left"/>
      <w:pPr>
        <w:ind w:left="2026" w:hanging="360"/>
      </w:pPr>
      <w:rPr>
        <w:rFonts w:ascii="Courier New" w:hAnsi="Courier New" w:cs="Courier New" w:hint="default"/>
      </w:rPr>
    </w:lvl>
    <w:lvl w:ilvl="2" w:tplc="240A0005" w:tentative="1">
      <w:start w:val="1"/>
      <w:numFmt w:val="bullet"/>
      <w:lvlText w:val=""/>
      <w:lvlJc w:val="left"/>
      <w:pPr>
        <w:ind w:left="2746" w:hanging="360"/>
      </w:pPr>
      <w:rPr>
        <w:rFonts w:ascii="Wingdings" w:hAnsi="Wingdings" w:hint="default"/>
      </w:rPr>
    </w:lvl>
    <w:lvl w:ilvl="3" w:tplc="240A0001" w:tentative="1">
      <w:start w:val="1"/>
      <w:numFmt w:val="bullet"/>
      <w:lvlText w:val=""/>
      <w:lvlJc w:val="left"/>
      <w:pPr>
        <w:ind w:left="3466" w:hanging="360"/>
      </w:pPr>
      <w:rPr>
        <w:rFonts w:ascii="Symbol" w:hAnsi="Symbol" w:hint="default"/>
      </w:rPr>
    </w:lvl>
    <w:lvl w:ilvl="4" w:tplc="240A0003" w:tentative="1">
      <w:start w:val="1"/>
      <w:numFmt w:val="bullet"/>
      <w:lvlText w:val="o"/>
      <w:lvlJc w:val="left"/>
      <w:pPr>
        <w:ind w:left="4186" w:hanging="360"/>
      </w:pPr>
      <w:rPr>
        <w:rFonts w:ascii="Courier New" w:hAnsi="Courier New" w:cs="Courier New" w:hint="default"/>
      </w:rPr>
    </w:lvl>
    <w:lvl w:ilvl="5" w:tplc="240A0005" w:tentative="1">
      <w:start w:val="1"/>
      <w:numFmt w:val="bullet"/>
      <w:lvlText w:val=""/>
      <w:lvlJc w:val="left"/>
      <w:pPr>
        <w:ind w:left="4906" w:hanging="360"/>
      </w:pPr>
      <w:rPr>
        <w:rFonts w:ascii="Wingdings" w:hAnsi="Wingdings" w:hint="default"/>
      </w:rPr>
    </w:lvl>
    <w:lvl w:ilvl="6" w:tplc="240A0001" w:tentative="1">
      <w:start w:val="1"/>
      <w:numFmt w:val="bullet"/>
      <w:lvlText w:val=""/>
      <w:lvlJc w:val="left"/>
      <w:pPr>
        <w:ind w:left="5626" w:hanging="360"/>
      </w:pPr>
      <w:rPr>
        <w:rFonts w:ascii="Symbol" w:hAnsi="Symbol" w:hint="default"/>
      </w:rPr>
    </w:lvl>
    <w:lvl w:ilvl="7" w:tplc="240A0003" w:tentative="1">
      <w:start w:val="1"/>
      <w:numFmt w:val="bullet"/>
      <w:lvlText w:val="o"/>
      <w:lvlJc w:val="left"/>
      <w:pPr>
        <w:ind w:left="6346" w:hanging="360"/>
      </w:pPr>
      <w:rPr>
        <w:rFonts w:ascii="Courier New" w:hAnsi="Courier New" w:cs="Courier New" w:hint="default"/>
      </w:rPr>
    </w:lvl>
    <w:lvl w:ilvl="8" w:tplc="240A0005" w:tentative="1">
      <w:start w:val="1"/>
      <w:numFmt w:val="bullet"/>
      <w:lvlText w:val=""/>
      <w:lvlJc w:val="left"/>
      <w:pPr>
        <w:ind w:left="7066" w:hanging="360"/>
      </w:pPr>
      <w:rPr>
        <w:rFonts w:ascii="Wingdings" w:hAnsi="Wingdings" w:hint="default"/>
      </w:rPr>
    </w:lvl>
  </w:abstractNum>
  <w:abstractNum w:abstractNumId="35" w15:restartNumberingAfterBreak="0">
    <w:nsid w:val="700C3EF4"/>
    <w:multiLevelType w:val="hybridMultilevel"/>
    <w:tmpl w:val="B7C0E734"/>
    <w:lvl w:ilvl="0" w:tplc="240A0017">
      <w:start w:val="1"/>
      <w:numFmt w:val="lowerLetter"/>
      <w:lvlText w:val="%1)"/>
      <w:lvlJc w:val="left"/>
      <w:pPr>
        <w:ind w:left="1451" w:hanging="360"/>
      </w:pPr>
    </w:lvl>
    <w:lvl w:ilvl="1" w:tplc="240A0019" w:tentative="1">
      <w:start w:val="1"/>
      <w:numFmt w:val="lowerLetter"/>
      <w:lvlText w:val="%2."/>
      <w:lvlJc w:val="left"/>
      <w:pPr>
        <w:ind w:left="2171" w:hanging="360"/>
      </w:pPr>
    </w:lvl>
    <w:lvl w:ilvl="2" w:tplc="240A001B" w:tentative="1">
      <w:start w:val="1"/>
      <w:numFmt w:val="lowerRoman"/>
      <w:lvlText w:val="%3."/>
      <w:lvlJc w:val="right"/>
      <w:pPr>
        <w:ind w:left="2891" w:hanging="180"/>
      </w:pPr>
    </w:lvl>
    <w:lvl w:ilvl="3" w:tplc="240A000F" w:tentative="1">
      <w:start w:val="1"/>
      <w:numFmt w:val="decimal"/>
      <w:lvlText w:val="%4."/>
      <w:lvlJc w:val="left"/>
      <w:pPr>
        <w:ind w:left="3611" w:hanging="360"/>
      </w:pPr>
    </w:lvl>
    <w:lvl w:ilvl="4" w:tplc="240A0019" w:tentative="1">
      <w:start w:val="1"/>
      <w:numFmt w:val="lowerLetter"/>
      <w:lvlText w:val="%5."/>
      <w:lvlJc w:val="left"/>
      <w:pPr>
        <w:ind w:left="4331" w:hanging="360"/>
      </w:pPr>
    </w:lvl>
    <w:lvl w:ilvl="5" w:tplc="240A001B" w:tentative="1">
      <w:start w:val="1"/>
      <w:numFmt w:val="lowerRoman"/>
      <w:lvlText w:val="%6."/>
      <w:lvlJc w:val="right"/>
      <w:pPr>
        <w:ind w:left="5051" w:hanging="180"/>
      </w:pPr>
    </w:lvl>
    <w:lvl w:ilvl="6" w:tplc="240A000F" w:tentative="1">
      <w:start w:val="1"/>
      <w:numFmt w:val="decimal"/>
      <w:lvlText w:val="%7."/>
      <w:lvlJc w:val="left"/>
      <w:pPr>
        <w:ind w:left="5771" w:hanging="360"/>
      </w:pPr>
    </w:lvl>
    <w:lvl w:ilvl="7" w:tplc="240A0019" w:tentative="1">
      <w:start w:val="1"/>
      <w:numFmt w:val="lowerLetter"/>
      <w:lvlText w:val="%8."/>
      <w:lvlJc w:val="left"/>
      <w:pPr>
        <w:ind w:left="6491" w:hanging="360"/>
      </w:pPr>
    </w:lvl>
    <w:lvl w:ilvl="8" w:tplc="240A001B" w:tentative="1">
      <w:start w:val="1"/>
      <w:numFmt w:val="lowerRoman"/>
      <w:lvlText w:val="%9."/>
      <w:lvlJc w:val="right"/>
      <w:pPr>
        <w:ind w:left="7211" w:hanging="180"/>
      </w:pPr>
    </w:lvl>
  </w:abstractNum>
  <w:abstractNum w:abstractNumId="36" w15:restartNumberingAfterBreak="0">
    <w:nsid w:val="76E46414"/>
    <w:multiLevelType w:val="multilevel"/>
    <w:tmpl w:val="66428CE8"/>
    <w:lvl w:ilvl="0">
      <w:start w:val="3"/>
      <w:numFmt w:val="decimal"/>
      <w:lvlText w:val="%1"/>
      <w:lvlJc w:val="left"/>
      <w:pPr>
        <w:ind w:left="2007" w:hanging="360"/>
      </w:pPr>
      <w:rPr>
        <w:rFonts w:hint="default"/>
      </w:rPr>
    </w:lvl>
    <w:lvl w:ilvl="1">
      <w:start w:val="7"/>
      <w:numFmt w:val="decimal"/>
      <w:isLgl/>
      <w:lvlText w:val="%1.%2."/>
      <w:lvlJc w:val="left"/>
      <w:pPr>
        <w:ind w:left="1701" w:hanging="454"/>
      </w:pPr>
      <w:rPr>
        <w:rFonts w:hint="default"/>
        <w:b w:val="0"/>
        <w:bCs w:val="0"/>
      </w:rPr>
    </w:lvl>
    <w:lvl w:ilvl="2">
      <w:start w:val="1"/>
      <w:numFmt w:val="decimal"/>
      <w:isLgl/>
      <w:lvlText w:val="%1.%2.%3."/>
      <w:lvlJc w:val="left"/>
      <w:pPr>
        <w:ind w:left="236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2727" w:hanging="1080"/>
      </w:pPr>
      <w:rPr>
        <w:rFonts w:hint="default"/>
      </w:rPr>
    </w:lvl>
    <w:lvl w:ilvl="5">
      <w:start w:val="1"/>
      <w:numFmt w:val="decimal"/>
      <w:isLgl/>
      <w:lvlText w:val="%1.%2.%3.%4.%5.%6."/>
      <w:lvlJc w:val="left"/>
      <w:pPr>
        <w:ind w:left="2727" w:hanging="1080"/>
      </w:pPr>
      <w:rPr>
        <w:rFonts w:hint="default"/>
      </w:rPr>
    </w:lvl>
    <w:lvl w:ilvl="6">
      <w:start w:val="1"/>
      <w:numFmt w:val="decimal"/>
      <w:isLgl/>
      <w:lvlText w:val="%1.%2.%3.%4.%5.%6.%7."/>
      <w:lvlJc w:val="left"/>
      <w:pPr>
        <w:ind w:left="2727" w:hanging="1080"/>
      </w:pPr>
      <w:rPr>
        <w:rFonts w:hint="default"/>
      </w:rPr>
    </w:lvl>
    <w:lvl w:ilvl="7">
      <w:start w:val="1"/>
      <w:numFmt w:val="decimal"/>
      <w:isLgl/>
      <w:lvlText w:val="%1.%2.%3.%4.%5.%6.%7.%8."/>
      <w:lvlJc w:val="left"/>
      <w:pPr>
        <w:ind w:left="3087" w:hanging="1440"/>
      </w:pPr>
      <w:rPr>
        <w:rFonts w:hint="default"/>
      </w:rPr>
    </w:lvl>
    <w:lvl w:ilvl="8">
      <w:start w:val="1"/>
      <w:numFmt w:val="decimal"/>
      <w:isLgl/>
      <w:lvlText w:val="%1.%2.%3.%4.%5.%6.%7.%8.%9."/>
      <w:lvlJc w:val="left"/>
      <w:pPr>
        <w:ind w:left="3087" w:hanging="1440"/>
      </w:pPr>
      <w:rPr>
        <w:rFonts w:hint="default"/>
      </w:rPr>
    </w:lvl>
  </w:abstractNum>
  <w:abstractNum w:abstractNumId="37" w15:restartNumberingAfterBreak="0">
    <w:nsid w:val="79C434F1"/>
    <w:multiLevelType w:val="hybridMultilevel"/>
    <w:tmpl w:val="2D80E00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8" w15:restartNumberingAfterBreak="0">
    <w:nsid w:val="7AAC6BAE"/>
    <w:multiLevelType w:val="hybridMultilevel"/>
    <w:tmpl w:val="674C2D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7E9026E5"/>
    <w:multiLevelType w:val="hybridMultilevel"/>
    <w:tmpl w:val="B59A4312"/>
    <w:lvl w:ilvl="0" w:tplc="4C9EC066">
      <w:start w:val="1"/>
      <w:numFmt w:val="upperLetter"/>
      <w:lvlText w:val="%1."/>
      <w:lvlJc w:val="left"/>
      <w:pPr>
        <w:ind w:left="1146" w:hanging="360"/>
      </w:pPr>
      <w:rPr>
        <w:rFonts w:hint="default"/>
      </w:rPr>
    </w:lvl>
    <w:lvl w:ilvl="1" w:tplc="240A0019" w:tentative="1">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num w:numId="1" w16cid:durableId="150488371">
    <w:abstractNumId w:val="21"/>
  </w:num>
  <w:num w:numId="2" w16cid:durableId="156189747">
    <w:abstractNumId w:val="4"/>
  </w:num>
  <w:num w:numId="3" w16cid:durableId="1495142705">
    <w:abstractNumId w:val="37"/>
  </w:num>
  <w:num w:numId="4" w16cid:durableId="828449113">
    <w:abstractNumId w:val="32"/>
  </w:num>
  <w:num w:numId="5" w16cid:durableId="993948031">
    <w:abstractNumId w:val="34"/>
  </w:num>
  <w:num w:numId="6" w16cid:durableId="1682467252">
    <w:abstractNumId w:val="38"/>
  </w:num>
  <w:num w:numId="7" w16cid:durableId="977223926">
    <w:abstractNumId w:val="9"/>
  </w:num>
  <w:num w:numId="8" w16cid:durableId="1639603780">
    <w:abstractNumId w:val="13"/>
  </w:num>
  <w:num w:numId="9" w16cid:durableId="687684533">
    <w:abstractNumId w:val="36"/>
  </w:num>
  <w:num w:numId="10" w16cid:durableId="921184829">
    <w:abstractNumId w:val="33"/>
  </w:num>
  <w:num w:numId="11" w16cid:durableId="1419399934">
    <w:abstractNumId w:val="19"/>
  </w:num>
  <w:num w:numId="12" w16cid:durableId="563180947">
    <w:abstractNumId w:val="18"/>
  </w:num>
  <w:num w:numId="13" w16cid:durableId="1771006611">
    <w:abstractNumId w:val="7"/>
  </w:num>
  <w:num w:numId="14" w16cid:durableId="1650011894">
    <w:abstractNumId w:val="25"/>
  </w:num>
  <w:num w:numId="15" w16cid:durableId="713777930">
    <w:abstractNumId w:val="16"/>
  </w:num>
  <w:num w:numId="16" w16cid:durableId="2125689008">
    <w:abstractNumId w:val="29"/>
  </w:num>
  <w:num w:numId="17" w16cid:durableId="1491405668">
    <w:abstractNumId w:val="39"/>
  </w:num>
  <w:num w:numId="18" w16cid:durableId="2011059177">
    <w:abstractNumId w:val="28"/>
  </w:num>
  <w:num w:numId="19" w16cid:durableId="235671207">
    <w:abstractNumId w:val="30"/>
  </w:num>
  <w:num w:numId="20" w16cid:durableId="594448">
    <w:abstractNumId w:val="22"/>
  </w:num>
  <w:num w:numId="21" w16cid:durableId="1030884734">
    <w:abstractNumId w:val="24"/>
  </w:num>
  <w:num w:numId="22" w16cid:durableId="293872045">
    <w:abstractNumId w:val="6"/>
  </w:num>
  <w:num w:numId="23" w16cid:durableId="749742630">
    <w:abstractNumId w:val="2"/>
  </w:num>
  <w:num w:numId="24" w16cid:durableId="952174021">
    <w:abstractNumId w:val="5"/>
  </w:num>
  <w:num w:numId="25" w16cid:durableId="392199246">
    <w:abstractNumId w:val="0"/>
  </w:num>
  <w:num w:numId="26" w16cid:durableId="32849130">
    <w:abstractNumId w:val="20"/>
  </w:num>
  <w:num w:numId="27" w16cid:durableId="953094422">
    <w:abstractNumId w:val="31"/>
  </w:num>
  <w:num w:numId="28" w16cid:durableId="2095466919">
    <w:abstractNumId w:val="23"/>
  </w:num>
  <w:num w:numId="29" w16cid:durableId="1743985218">
    <w:abstractNumId w:val="12"/>
  </w:num>
  <w:num w:numId="30" w16cid:durableId="1827044932">
    <w:abstractNumId w:val="1"/>
  </w:num>
  <w:num w:numId="31" w16cid:durableId="198248920">
    <w:abstractNumId w:val="11"/>
  </w:num>
  <w:num w:numId="32" w16cid:durableId="1320111416">
    <w:abstractNumId w:val="26"/>
  </w:num>
  <w:num w:numId="33" w16cid:durableId="876435618">
    <w:abstractNumId w:val="15"/>
  </w:num>
  <w:num w:numId="34" w16cid:durableId="1369332632">
    <w:abstractNumId w:val="8"/>
  </w:num>
  <w:num w:numId="35" w16cid:durableId="542140328">
    <w:abstractNumId w:val="35"/>
  </w:num>
  <w:num w:numId="36" w16cid:durableId="823087683">
    <w:abstractNumId w:val="10"/>
  </w:num>
  <w:num w:numId="37" w16cid:durableId="875387817">
    <w:abstractNumId w:val="17"/>
  </w:num>
  <w:num w:numId="38" w16cid:durableId="487863610">
    <w:abstractNumId w:val="14"/>
  </w:num>
  <w:num w:numId="39" w16cid:durableId="1486780186">
    <w:abstractNumId w:val="3"/>
  </w:num>
  <w:num w:numId="40" w16cid:durableId="757481139">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56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3478"/>
    <w:rsid w:val="00000330"/>
    <w:rsid w:val="00001806"/>
    <w:rsid w:val="00002BC0"/>
    <w:rsid w:val="00003449"/>
    <w:rsid w:val="000037DA"/>
    <w:rsid w:val="00003CD7"/>
    <w:rsid w:val="00005798"/>
    <w:rsid w:val="00005D42"/>
    <w:rsid w:val="0000761F"/>
    <w:rsid w:val="00007B65"/>
    <w:rsid w:val="00010CF2"/>
    <w:rsid w:val="00014234"/>
    <w:rsid w:val="00015067"/>
    <w:rsid w:val="00015089"/>
    <w:rsid w:val="00016B6C"/>
    <w:rsid w:val="0001730E"/>
    <w:rsid w:val="0002025F"/>
    <w:rsid w:val="00021AC5"/>
    <w:rsid w:val="00022068"/>
    <w:rsid w:val="0002243A"/>
    <w:rsid w:val="000239C5"/>
    <w:rsid w:val="0002427D"/>
    <w:rsid w:val="00025259"/>
    <w:rsid w:val="000274F4"/>
    <w:rsid w:val="00027861"/>
    <w:rsid w:val="00027B2B"/>
    <w:rsid w:val="00030091"/>
    <w:rsid w:val="00031177"/>
    <w:rsid w:val="000332D7"/>
    <w:rsid w:val="00033DD4"/>
    <w:rsid w:val="00034DFC"/>
    <w:rsid w:val="00035D93"/>
    <w:rsid w:val="000361D6"/>
    <w:rsid w:val="0003798C"/>
    <w:rsid w:val="00041328"/>
    <w:rsid w:val="00044139"/>
    <w:rsid w:val="000460EA"/>
    <w:rsid w:val="000469B2"/>
    <w:rsid w:val="00046D2B"/>
    <w:rsid w:val="00050D2F"/>
    <w:rsid w:val="00052B01"/>
    <w:rsid w:val="000547F1"/>
    <w:rsid w:val="00054DCB"/>
    <w:rsid w:val="000552D0"/>
    <w:rsid w:val="0005601E"/>
    <w:rsid w:val="00056202"/>
    <w:rsid w:val="000570BA"/>
    <w:rsid w:val="0006085E"/>
    <w:rsid w:val="00061090"/>
    <w:rsid w:val="0006179B"/>
    <w:rsid w:val="000619FE"/>
    <w:rsid w:val="00061C8B"/>
    <w:rsid w:val="00066385"/>
    <w:rsid w:val="00066488"/>
    <w:rsid w:val="000674F0"/>
    <w:rsid w:val="00070215"/>
    <w:rsid w:val="0007022A"/>
    <w:rsid w:val="000702AC"/>
    <w:rsid w:val="000704A3"/>
    <w:rsid w:val="00070D1F"/>
    <w:rsid w:val="00070F3B"/>
    <w:rsid w:val="00071F33"/>
    <w:rsid w:val="0007261C"/>
    <w:rsid w:val="000731E9"/>
    <w:rsid w:val="00074322"/>
    <w:rsid w:val="00074BEC"/>
    <w:rsid w:val="00076BBB"/>
    <w:rsid w:val="0008022A"/>
    <w:rsid w:val="00080742"/>
    <w:rsid w:val="00080746"/>
    <w:rsid w:val="000809FA"/>
    <w:rsid w:val="00080B64"/>
    <w:rsid w:val="00081B53"/>
    <w:rsid w:val="00083FA4"/>
    <w:rsid w:val="00084198"/>
    <w:rsid w:val="000862F9"/>
    <w:rsid w:val="000864DC"/>
    <w:rsid w:val="000901A0"/>
    <w:rsid w:val="00091588"/>
    <w:rsid w:val="00091DA0"/>
    <w:rsid w:val="000930FE"/>
    <w:rsid w:val="00093645"/>
    <w:rsid w:val="000946E1"/>
    <w:rsid w:val="000956A9"/>
    <w:rsid w:val="00096026"/>
    <w:rsid w:val="0009672F"/>
    <w:rsid w:val="000967D6"/>
    <w:rsid w:val="00096BCC"/>
    <w:rsid w:val="0009780B"/>
    <w:rsid w:val="000A28B3"/>
    <w:rsid w:val="000A66EF"/>
    <w:rsid w:val="000B129C"/>
    <w:rsid w:val="000B3165"/>
    <w:rsid w:val="000B35F7"/>
    <w:rsid w:val="000B6FAC"/>
    <w:rsid w:val="000C0664"/>
    <w:rsid w:val="000C080E"/>
    <w:rsid w:val="000C0951"/>
    <w:rsid w:val="000C1B06"/>
    <w:rsid w:val="000C2A2D"/>
    <w:rsid w:val="000C4271"/>
    <w:rsid w:val="000C4E60"/>
    <w:rsid w:val="000D03A6"/>
    <w:rsid w:val="000D15E8"/>
    <w:rsid w:val="000D26EE"/>
    <w:rsid w:val="000D29A3"/>
    <w:rsid w:val="000D2A1E"/>
    <w:rsid w:val="000D3E46"/>
    <w:rsid w:val="000D4D82"/>
    <w:rsid w:val="000D7BF5"/>
    <w:rsid w:val="000E03E6"/>
    <w:rsid w:val="000E15D9"/>
    <w:rsid w:val="000E1B83"/>
    <w:rsid w:val="000E23B7"/>
    <w:rsid w:val="000E2D89"/>
    <w:rsid w:val="000E3478"/>
    <w:rsid w:val="000E508A"/>
    <w:rsid w:val="000E5FB6"/>
    <w:rsid w:val="000E61CF"/>
    <w:rsid w:val="000F03A7"/>
    <w:rsid w:val="000F2F5B"/>
    <w:rsid w:val="000F392E"/>
    <w:rsid w:val="000F5A33"/>
    <w:rsid w:val="000F7971"/>
    <w:rsid w:val="00100C53"/>
    <w:rsid w:val="00100DE5"/>
    <w:rsid w:val="00101CE0"/>
    <w:rsid w:val="001021F4"/>
    <w:rsid w:val="0010395C"/>
    <w:rsid w:val="00104C46"/>
    <w:rsid w:val="00104C57"/>
    <w:rsid w:val="00104FC5"/>
    <w:rsid w:val="00106472"/>
    <w:rsid w:val="00113F26"/>
    <w:rsid w:val="00113F72"/>
    <w:rsid w:val="00115A20"/>
    <w:rsid w:val="00115D7E"/>
    <w:rsid w:val="00116C61"/>
    <w:rsid w:val="00117EB5"/>
    <w:rsid w:val="00120CEC"/>
    <w:rsid w:val="00121309"/>
    <w:rsid w:val="001243F8"/>
    <w:rsid w:val="00124D58"/>
    <w:rsid w:val="001315AD"/>
    <w:rsid w:val="00131AF9"/>
    <w:rsid w:val="00131EF1"/>
    <w:rsid w:val="001321BB"/>
    <w:rsid w:val="00132EE7"/>
    <w:rsid w:val="0013356C"/>
    <w:rsid w:val="001343BE"/>
    <w:rsid w:val="00140B1D"/>
    <w:rsid w:val="00141455"/>
    <w:rsid w:val="00143BB5"/>
    <w:rsid w:val="00144A1E"/>
    <w:rsid w:val="001460DB"/>
    <w:rsid w:val="00147882"/>
    <w:rsid w:val="0015132E"/>
    <w:rsid w:val="00153911"/>
    <w:rsid w:val="0015565B"/>
    <w:rsid w:val="00155A4A"/>
    <w:rsid w:val="00155A6D"/>
    <w:rsid w:val="00155E58"/>
    <w:rsid w:val="00156023"/>
    <w:rsid w:val="00156553"/>
    <w:rsid w:val="00156873"/>
    <w:rsid w:val="001573FB"/>
    <w:rsid w:val="00165B48"/>
    <w:rsid w:val="001703C1"/>
    <w:rsid w:val="0017041B"/>
    <w:rsid w:val="001705E6"/>
    <w:rsid w:val="001709EE"/>
    <w:rsid w:val="0017165A"/>
    <w:rsid w:val="00172C4F"/>
    <w:rsid w:val="00173C36"/>
    <w:rsid w:val="00175FD1"/>
    <w:rsid w:val="001771ED"/>
    <w:rsid w:val="00180F0F"/>
    <w:rsid w:val="001818DA"/>
    <w:rsid w:val="00182685"/>
    <w:rsid w:val="00182E29"/>
    <w:rsid w:val="00182FAB"/>
    <w:rsid w:val="00183C6F"/>
    <w:rsid w:val="001842B5"/>
    <w:rsid w:val="00185A83"/>
    <w:rsid w:val="0018621F"/>
    <w:rsid w:val="00187FF4"/>
    <w:rsid w:val="0019124B"/>
    <w:rsid w:val="00191AA2"/>
    <w:rsid w:val="00193FB0"/>
    <w:rsid w:val="001942C6"/>
    <w:rsid w:val="00194D89"/>
    <w:rsid w:val="0019733E"/>
    <w:rsid w:val="001A0A84"/>
    <w:rsid w:val="001A14B4"/>
    <w:rsid w:val="001A3CB2"/>
    <w:rsid w:val="001A4C68"/>
    <w:rsid w:val="001A6330"/>
    <w:rsid w:val="001A63AD"/>
    <w:rsid w:val="001A7141"/>
    <w:rsid w:val="001A7D91"/>
    <w:rsid w:val="001A7EF5"/>
    <w:rsid w:val="001B0386"/>
    <w:rsid w:val="001B14A8"/>
    <w:rsid w:val="001B2405"/>
    <w:rsid w:val="001B302A"/>
    <w:rsid w:val="001B3307"/>
    <w:rsid w:val="001B574A"/>
    <w:rsid w:val="001B6280"/>
    <w:rsid w:val="001B6D26"/>
    <w:rsid w:val="001B6E88"/>
    <w:rsid w:val="001C0A1A"/>
    <w:rsid w:val="001C0D12"/>
    <w:rsid w:val="001C238F"/>
    <w:rsid w:val="001C2E00"/>
    <w:rsid w:val="001C3991"/>
    <w:rsid w:val="001C4433"/>
    <w:rsid w:val="001C4487"/>
    <w:rsid w:val="001C44B9"/>
    <w:rsid w:val="001C5FE6"/>
    <w:rsid w:val="001D0CC7"/>
    <w:rsid w:val="001D0EFC"/>
    <w:rsid w:val="001D1C3A"/>
    <w:rsid w:val="001D22F9"/>
    <w:rsid w:val="001D2AEB"/>
    <w:rsid w:val="001D3DB5"/>
    <w:rsid w:val="001D5EAD"/>
    <w:rsid w:val="001D72F5"/>
    <w:rsid w:val="001D7BA2"/>
    <w:rsid w:val="001E0243"/>
    <w:rsid w:val="001E171C"/>
    <w:rsid w:val="001E2E84"/>
    <w:rsid w:val="001E352F"/>
    <w:rsid w:val="001E4271"/>
    <w:rsid w:val="001E5AD6"/>
    <w:rsid w:val="001E5E23"/>
    <w:rsid w:val="001E6EF6"/>
    <w:rsid w:val="001F08C4"/>
    <w:rsid w:val="001F3669"/>
    <w:rsid w:val="001F467A"/>
    <w:rsid w:val="001F6AA2"/>
    <w:rsid w:val="001F7F6B"/>
    <w:rsid w:val="00200C52"/>
    <w:rsid w:val="00200D0A"/>
    <w:rsid w:val="002027E0"/>
    <w:rsid w:val="00202E3B"/>
    <w:rsid w:val="00202F3C"/>
    <w:rsid w:val="00203CA9"/>
    <w:rsid w:val="00203FF6"/>
    <w:rsid w:val="00204BA6"/>
    <w:rsid w:val="00204C4D"/>
    <w:rsid w:val="0020589A"/>
    <w:rsid w:val="002076FD"/>
    <w:rsid w:val="00207AA3"/>
    <w:rsid w:val="00210CA1"/>
    <w:rsid w:val="00211F1C"/>
    <w:rsid w:val="00213BBD"/>
    <w:rsid w:val="002149B5"/>
    <w:rsid w:val="00215121"/>
    <w:rsid w:val="002207EA"/>
    <w:rsid w:val="00222AD7"/>
    <w:rsid w:val="00233883"/>
    <w:rsid w:val="00233A5B"/>
    <w:rsid w:val="00233C4A"/>
    <w:rsid w:val="002354FC"/>
    <w:rsid w:val="00236D02"/>
    <w:rsid w:val="0023730F"/>
    <w:rsid w:val="002377F0"/>
    <w:rsid w:val="00240C21"/>
    <w:rsid w:val="002411ED"/>
    <w:rsid w:val="002434CA"/>
    <w:rsid w:val="00243E1A"/>
    <w:rsid w:val="0024480B"/>
    <w:rsid w:val="0024527C"/>
    <w:rsid w:val="0024694C"/>
    <w:rsid w:val="00250733"/>
    <w:rsid w:val="00250DD8"/>
    <w:rsid w:val="00251BD4"/>
    <w:rsid w:val="00253DB8"/>
    <w:rsid w:val="0025470D"/>
    <w:rsid w:val="0025576C"/>
    <w:rsid w:val="0025699A"/>
    <w:rsid w:val="00257C93"/>
    <w:rsid w:val="00261175"/>
    <w:rsid w:val="0026380F"/>
    <w:rsid w:val="00264FBC"/>
    <w:rsid w:val="00264FD2"/>
    <w:rsid w:val="00265711"/>
    <w:rsid w:val="002672A0"/>
    <w:rsid w:val="002732AD"/>
    <w:rsid w:val="0027341E"/>
    <w:rsid w:val="00273F2E"/>
    <w:rsid w:val="00276C63"/>
    <w:rsid w:val="002802CE"/>
    <w:rsid w:val="00280602"/>
    <w:rsid w:val="002816F7"/>
    <w:rsid w:val="00281A0B"/>
    <w:rsid w:val="0028559F"/>
    <w:rsid w:val="00285F46"/>
    <w:rsid w:val="00285FF4"/>
    <w:rsid w:val="00290806"/>
    <w:rsid w:val="00292905"/>
    <w:rsid w:val="00293095"/>
    <w:rsid w:val="002947EE"/>
    <w:rsid w:val="00294E41"/>
    <w:rsid w:val="002951AF"/>
    <w:rsid w:val="00295D37"/>
    <w:rsid w:val="00296A0D"/>
    <w:rsid w:val="002977F9"/>
    <w:rsid w:val="00297BC8"/>
    <w:rsid w:val="002A30F8"/>
    <w:rsid w:val="002A3B78"/>
    <w:rsid w:val="002A3F16"/>
    <w:rsid w:val="002A6B8F"/>
    <w:rsid w:val="002A7ACF"/>
    <w:rsid w:val="002B04F9"/>
    <w:rsid w:val="002B18A7"/>
    <w:rsid w:val="002B3EDB"/>
    <w:rsid w:val="002B460F"/>
    <w:rsid w:val="002B5C89"/>
    <w:rsid w:val="002B62CA"/>
    <w:rsid w:val="002B66B9"/>
    <w:rsid w:val="002B77E2"/>
    <w:rsid w:val="002C2791"/>
    <w:rsid w:val="002C2AFB"/>
    <w:rsid w:val="002C2EC2"/>
    <w:rsid w:val="002C56AC"/>
    <w:rsid w:val="002C56E8"/>
    <w:rsid w:val="002C5DAE"/>
    <w:rsid w:val="002C693F"/>
    <w:rsid w:val="002C7D21"/>
    <w:rsid w:val="002D23A0"/>
    <w:rsid w:val="002D2718"/>
    <w:rsid w:val="002D34B6"/>
    <w:rsid w:val="002D38A7"/>
    <w:rsid w:val="002D3A3F"/>
    <w:rsid w:val="002D46D3"/>
    <w:rsid w:val="002D4D32"/>
    <w:rsid w:val="002D7667"/>
    <w:rsid w:val="002E031E"/>
    <w:rsid w:val="002E0E85"/>
    <w:rsid w:val="002E12CA"/>
    <w:rsid w:val="002E2A89"/>
    <w:rsid w:val="002E3683"/>
    <w:rsid w:val="002E48DE"/>
    <w:rsid w:val="002E4C27"/>
    <w:rsid w:val="002E5A9B"/>
    <w:rsid w:val="002E7455"/>
    <w:rsid w:val="002F005E"/>
    <w:rsid w:val="002F0576"/>
    <w:rsid w:val="002F1181"/>
    <w:rsid w:val="002F230A"/>
    <w:rsid w:val="002F6007"/>
    <w:rsid w:val="002F7346"/>
    <w:rsid w:val="00304CAD"/>
    <w:rsid w:val="00306B8E"/>
    <w:rsid w:val="00306E31"/>
    <w:rsid w:val="00307807"/>
    <w:rsid w:val="00307ACD"/>
    <w:rsid w:val="00307C53"/>
    <w:rsid w:val="00310353"/>
    <w:rsid w:val="00310C30"/>
    <w:rsid w:val="00312308"/>
    <w:rsid w:val="003169FF"/>
    <w:rsid w:val="00317ADF"/>
    <w:rsid w:val="00320A63"/>
    <w:rsid w:val="003212C7"/>
    <w:rsid w:val="00321CDC"/>
    <w:rsid w:val="00324658"/>
    <w:rsid w:val="00325ACF"/>
    <w:rsid w:val="00325F05"/>
    <w:rsid w:val="00326A1D"/>
    <w:rsid w:val="00333029"/>
    <w:rsid w:val="00335209"/>
    <w:rsid w:val="0033568E"/>
    <w:rsid w:val="00336085"/>
    <w:rsid w:val="00336152"/>
    <w:rsid w:val="003371B2"/>
    <w:rsid w:val="003372A3"/>
    <w:rsid w:val="00340490"/>
    <w:rsid w:val="00340574"/>
    <w:rsid w:val="00340590"/>
    <w:rsid w:val="0034112D"/>
    <w:rsid w:val="00342A75"/>
    <w:rsid w:val="00343D87"/>
    <w:rsid w:val="00343D9C"/>
    <w:rsid w:val="00345787"/>
    <w:rsid w:val="00347BCA"/>
    <w:rsid w:val="00351E33"/>
    <w:rsid w:val="0035248F"/>
    <w:rsid w:val="0035275B"/>
    <w:rsid w:val="0035298C"/>
    <w:rsid w:val="00352BE5"/>
    <w:rsid w:val="00352EBC"/>
    <w:rsid w:val="003532F0"/>
    <w:rsid w:val="0035433B"/>
    <w:rsid w:val="00356DF8"/>
    <w:rsid w:val="003602A5"/>
    <w:rsid w:val="0036163B"/>
    <w:rsid w:val="0036201B"/>
    <w:rsid w:val="003622B9"/>
    <w:rsid w:val="00364108"/>
    <w:rsid w:val="00365356"/>
    <w:rsid w:val="00365921"/>
    <w:rsid w:val="003667ED"/>
    <w:rsid w:val="00366902"/>
    <w:rsid w:val="00366CBE"/>
    <w:rsid w:val="00367C99"/>
    <w:rsid w:val="00370B32"/>
    <w:rsid w:val="00370F7D"/>
    <w:rsid w:val="00371623"/>
    <w:rsid w:val="0037349C"/>
    <w:rsid w:val="003737D7"/>
    <w:rsid w:val="0037557A"/>
    <w:rsid w:val="00375E40"/>
    <w:rsid w:val="0037649D"/>
    <w:rsid w:val="00376FC3"/>
    <w:rsid w:val="003810FC"/>
    <w:rsid w:val="00381371"/>
    <w:rsid w:val="0038229B"/>
    <w:rsid w:val="00387233"/>
    <w:rsid w:val="00387345"/>
    <w:rsid w:val="00387371"/>
    <w:rsid w:val="00387DC2"/>
    <w:rsid w:val="003900BB"/>
    <w:rsid w:val="00390327"/>
    <w:rsid w:val="003907CA"/>
    <w:rsid w:val="00391096"/>
    <w:rsid w:val="00391C26"/>
    <w:rsid w:val="00392BD5"/>
    <w:rsid w:val="00394707"/>
    <w:rsid w:val="0039539A"/>
    <w:rsid w:val="003A5B98"/>
    <w:rsid w:val="003A5E3A"/>
    <w:rsid w:val="003A7546"/>
    <w:rsid w:val="003A777C"/>
    <w:rsid w:val="003B0DD4"/>
    <w:rsid w:val="003B18C7"/>
    <w:rsid w:val="003B20A2"/>
    <w:rsid w:val="003B234F"/>
    <w:rsid w:val="003B366B"/>
    <w:rsid w:val="003B3BCB"/>
    <w:rsid w:val="003B472E"/>
    <w:rsid w:val="003B49C3"/>
    <w:rsid w:val="003B4C14"/>
    <w:rsid w:val="003B4D6F"/>
    <w:rsid w:val="003B5213"/>
    <w:rsid w:val="003B5B05"/>
    <w:rsid w:val="003B7EDD"/>
    <w:rsid w:val="003C1957"/>
    <w:rsid w:val="003C23CF"/>
    <w:rsid w:val="003C2922"/>
    <w:rsid w:val="003C353D"/>
    <w:rsid w:val="003C513C"/>
    <w:rsid w:val="003C6FE1"/>
    <w:rsid w:val="003C79BB"/>
    <w:rsid w:val="003D2DA4"/>
    <w:rsid w:val="003D378A"/>
    <w:rsid w:val="003D6EEF"/>
    <w:rsid w:val="003D6F3B"/>
    <w:rsid w:val="003E02A5"/>
    <w:rsid w:val="003E079B"/>
    <w:rsid w:val="003E1A9F"/>
    <w:rsid w:val="003E21A1"/>
    <w:rsid w:val="003E2336"/>
    <w:rsid w:val="003E42C1"/>
    <w:rsid w:val="003E529D"/>
    <w:rsid w:val="003E6EF2"/>
    <w:rsid w:val="003E7CFC"/>
    <w:rsid w:val="003E7F27"/>
    <w:rsid w:val="003F0158"/>
    <w:rsid w:val="003F1477"/>
    <w:rsid w:val="003F4C66"/>
    <w:rsid w:val="003F6C02"/>
    <w:rsid w:val="003F75C9"/>
    <w:rsid w:val="004017BC"/>
    <w:rsid w:val="00402278"/>
    <w:rsid w:val="00405888"/>
    <w:rsid w:val="004061DE"/>
    <w:rsid w:val="00406F1F"/>
    <w:rsid w:val="004102DE"/>
    <w:rsid w:val="004112CD"/>
    <w:rsid w:val="00413B2C"/>
    <w:rsid w:val="00413F44"/>
    <w:rsid w:val="00414EF2"/>
    <w:rsid w:val="00420EBD"/>
    <w:rsid w:val="0042198B"/>
    <w:rsid w:val="00422F18"/>
    <w:rsid w:val="00426303"/>
    <w:rsid w:val="00427E34"/>
    <w:rsid w:val="00430445"/>
    <w:rsid w:val="00431559"/>
    <w:rsid w:val="004319A4"/>
    <w:rsid w:val="004343AE"/>
    <w:rsid w:val="0043501B"/>
    <w:rsid w:val="0043638C"/>
    <w:rsid w:val="0043733A"/>
    <w:rsid w:val="00440285"/>
    <w:rsid w:val="00440F02"/>
    <w:rsid w:val="004414DA"/>
    <w:rsid w:val="00441585"/>
    <w:rsid w:val="00441ECE"/>
    <w:rsid w:val="00443605"/>
    <w:rsid w:val="004446E1"/>
    <w:rsid w:val="00444CEA"/>
    <w:rsid w:val="00445F6A"/>
    <w:rsid w:val="0044662E"/>
    <w:rsid w:val="00446CFA"/>
    <w:rsid w:val="004476FF"/>
    <w:rsid w:val="004511D9"/>
    <w:rsid w:val="004519A4"/>
    <w:rsid w:val="00452668"/>
    <w:rsid w:val="004534D7"/>
    <w:rsid w:val="00454472"/>
    <w:rsid w:val="0045451B"/>
    <w:rsid w:val="00455946"/>
    <w:rsid w:val="00456019"/>
    <w:rsid w:val="00457E55"/>
    <w:rsid w:val="00457F61"/>
    <w:rsid w:val="0046020F"/>
    <w:rsid w:val="00460669"/>
    <w:rsid w:val="00461509"/>
    <w:rsid w:val="00464A35"/>
    <w:rsid w:val="00465D51"/>
    <w:rsid w:val="004721C5"/>
    <w:rsid w:val="00472307"/>
    <w:rsid w:val="00473420"/>
    <w:rsid w:val="00474676"/>
    <w:rsid w:val="00476236"/>
    <w:rsid w:val="0047680B"/>
    <w:rsid w:val="00476D59"/>
    <w:rsid w:val="00480788"/>
    <w:rsid w:val="00481978"/>
    <w:rsid w:val="00481B80"/>
    <w:rsid w:val="00481D72"/>
    <w:rsid w:val="00482F6C"/>
    <w:rsid w:val="004832B9"/>
    <w:rsid w:val="00485245"/>
    <w:rsid w:val="00486349"/>
    <w:rsid w:val="0048675A"/>
    <w:rsid w:val="004918D1"/>
    <w:rsid w:val="004920EC"/>
    <w:rsid w:val="00493C9C"/>
    <w:rsid w:val="00493DE6"/>
    <w:rsid w:val="00494F79"/>
    <w:rsid w:val="00495445"/>
    <w:rsid w:val="00495E68"/>
    <w:rsid w:val="00495F98"/>
    <w:rsid w:val="004974CC"/>
    <w:rsid w:val="00497C06"/>
    <w:rsid w:val="004A000E"/>
    <w:rsid w:val="004A1B73"/>
    <w:rsid w:val="004A2352"/>
    <w:rsid w:val="004A2726"/>
    <w:rsid w:val="004A334A"/>
    <w:rsid w:val="004A48DF"/>
    <w:rsid w:val="004A7ED3"/>
    <w:rsid w:val="004B03F9"/>
    <w:rsid w:val="004B2077"/>
    <w:rsid w:val="004B23E9"/>
    <w:rsid w:val="004B245E"/>
    <w:rsid w:val="004B358A"/>
    <w:rsid w:val="004B3AFF"/>
    <w:rsid w:val="004B488F"/>
    <w:rsid w:val="004B7378"/>
    <w:rsid w:val="004B7EA7"/>
    <w:rsid w:val="004C0655"/>
    <w:rsid w:val="004C13AF"/>
    <w:rsid w:val="004C2070"/>
    <w:rsid w:val="004C3704"/>
    <w:rsid w:val="004C5886"/>
    <w:rsid w:val="004C6900"/>
    <w:rsid w:val="004C7792"/>
    <w:rsid w:val="004D09E2"/>
    <w:rsid w:val="004D1976"/>
    <w:rsid w:val="004D20DC"/>
    <w:rsid w:val="004D282A"/>
    <w:rsid w:val="004D34F0"/>
    <w:rsid w:val="004D3D4C"/>
    <w:rsid w:val="004D48A6"/>
    <w:rsid w:val="004E299A"/>
    <w:rsid w:val="004E3939"/>
    <w:rsid w:val="004E3E00"/>
    <w:rsid w:val="004E40A9"/>
    <w:rsid w:val="004E5572"/>
    <w:rsid w:val="004E6216"/>
    <w:rsid w:val="004E69A0"/>
    <w:rsid w:val="004F1CD9"/>
    <w:rsid w:val="004F2101"/>
    <w:rsid w:val="004F4DB0"/>
    <w:rsid w:val="004F551D"/>
    <w:rsid w:val="004F5CEB"/>
    <w:rsid w:val="004F6B5C"/>
    <w:rsid w:val="004F7B37"/>
    <w:rsid w:val="00501D9A"/>
    <w:rsid w:val="005056A8"/>
    <w:rsid w:val="005065F5"/>
    <w:rsid w:val="00506A49"/>
    <w:rsid w:val="005102C6"/>
    <w:rsid w:val="005124A6"/>
    <w:rsid w:val="0051356B"/>
    <w:rsid w:val="0051409B"/>
    <w:rsid w:val="00514BFB"/>
    <w:rsid w:val="00515D19"/>
    <w:rsid w:val="00516154"/>
    <w:rsid w:val="00516A9F"/>
    <w:rsid w:val="00517471"/>
    <w:rsid w:val="00521ABA"/>
    <w:rsid w:val="0052294F"/>
    <w:rsid w:val="00522D0A"/>
    <w:rsid w:val="0052381F"/>
    <w:rsid w:val="00524BDE"/>
    <w:rsid w:val="00525E0E"/>
    <w:rsid w:val="00526BA7"/>
    <w:rsid w:val="005270FE"/>
    <w:rsid w:val="005313E1"/>
    <w:rsid w:val="00532468"/>
    <w:rsid w:val="00532A4A"/>
    <w:rsid w:val="005332AF"/>
    <w:rsid w:val="00533978"/>
    <w:rsid w:val="005342B4"/>
    <w:rsid w:val="00536E00"/>
    <w:rsid w:val="0054140A"/>
    <w:rsid w:val="00542FBD"/>
    <w:rsid w:val="00543EB9"/>
    <w:rsid w:val="005446B1"/>
    <w:rsid w:val="00544E24"/>
    <w:rsid w:val="005454E6"/>
    <w:rsid w:val="0054711A"/>
    <w:rsid w:val="005522ED"/>
    <w:rsid w:val="00552979"/>
    <w:rsid w:val="00553091"/>
    <w:rsid w:val="0055332C"/>
    <w:rsid w:val="0055446D"/>
    <w:rsid w:val="00554E32"/>
    <w:rsid w:val="0055558B"/>
    <w:rsid w:val="0055629F"/>
    <w:rsid w:val="00556F76"/>
    <w:rsid w:val="00560248"/>
    <w:rsid w:val="0056260B"/>
    <w:rsid w:val="0056470E"/>
    <w:rsid w:val="00564733"/>
    <w:rsid w:val="00570F32"/>
    <w:rsid w:val="0057152A"/>
    <w:rsid w:val="00572EEC"/>
    <w:rsid w:val="00573F31"/>
    <w:rsid w:val="0057517D"/>
    <w:rsid w:val="0057562F"/>
    <w:rsid w:val="00575DD5"/>
    <w:rsid w:val="005769DC"/>
    <w:rsid w:val="00576A1B"/>
    <w:rsid w:val="00576B44"/>
    <w:rsid w:val="00577C96"/>
    <w:rsid w:val="0058043A"/>
    <w:rsid w:val="005807D7"/>
    <w:rsid w:val="00580A78"/>
    <w:rsid w:val="00581ADE"/>
    <w:rsid w:val="00582DC8"/>
    <w:rsid w:val="005831B9"/>
    <w:rsid w:val="00584A02"/>
    <w:rsid w:val="00585C3A"/>
    <w:rsid w:val="005875FF"/>
    <w:rsid w:val="005905DB"/>
    <w:rsid w:val="00591612"/>
    <w:rsid w:val="005943C3"/>
    <w:rsid w:val="00596A2D"/>
    <w:rsid w:val="00597D47"/>
    <w:rsid w:val="005A1359"/>
    <w:rsid w:val="005A2532"/>
    <w:rsid w:val="005A2EEA"/>
    <w:rsid w:val="005A3D27"/>
    <w:rsid w:val="005A578F"/>
    <w:rsid w:val="005A5D7E"/>
    <w:rsid w:val="005A63A7"/>
    <w:rsid w:val="005A7170"/>
    <w:rsid w:val="005B04EE"/>
    <w:rsid w:val="005B0759"/>
    <w:rsid w:val="005B2291"/>
    <w:rsid w:val="005B3148"/>
    <w:rsid w:val="005B4699"/>
    <w:rsid w:val="005B4D20"/>
    <w:rsid w:val="005B4D68"/>
    <w:rsid w:val="005B4EFF"/>
    <w:rsid w:val="005B70C3"/>
    <w:rsid w:val="005B735B"/>
    <w:rsid w:val="005B7ED3"/>
    <w:rsid w:val="005C2565"/>
    <w:rsid w:val="005C2A01"/>
    <w:rsid w:val="005C2B10"/>
    <w:rsid w:val="005C2F5B"/>
    <w:rsid w:val="005C3022"/>
    <w:rsid w:val="005C3126"/>
    <w:rsid w:val="005D16C2"/>
    <w:rsid w:val="005D16EC"/>
    <w:rsid w:val="005D1924"/>
    <w:rsid w:val="005D25E3"/>
    <w:rsid w:val="005D5EF3"/>
    <w:rsid w:val="005D6496"/>
    <w:rsid w:val="005D6836"/>
    <w:rsid w:val="005D7602"/>
    <w:rsid w:val="005E0F6C"/>
    <w:rsid w:val="005E3CB4"/>
    <w:rsid w:val="005E4C07"/>
    <w:rsid w:val="005E5505"/>
    <w:rsid w:val="005E6B65"/>
    <w:rsid w:val="005F06F6"/>
    <w:rsid w:val="005F0B0D"/>
    <w:rsid w:val="005F27EF"/>
    <w:rsid w:val="005F3F17"/>
    <w:rsid w:val="005F47B2"/>
    <w:rsid w:val="005F48B6"/>
    <w:rsid w:val="005F5F7B"/>
    <w:rsid w:val="005F5FE7"/>
    <w:rsid w:val="005F64D9"/>
    <w:rsid w:val="005F6561"/>
    <w:rsid w:val="005F78F7"/>
    <w:rsid w:val="005F7BA1"/>
    <w:rsid w:val="005F7E9E"/>
    <w:rsid w:val="00600995"/>
    <w:rsid w:val="0060200C"/>
    <w:rsid w:val="006022D8"/>
    <w:rsid w:val="00602CCC"/>
    <w:rsid w:val="0060380F"/>
    <w:rsid w:val="00604E85"/>
    <w:rsid w:val="00605980"/>
    <w:rsid w:val="00611E37"/>
    <w:rsid w:val="006126AC"/>
    <w:rsid w:val="00612E38"/>
    <w:rsid w:val="0061333A"/>
    <w:rsid w:val="006143D0"/>
    <w:rsid w:val="00615695"/>
    <w:rsid w:val="00621855"/>
    <w:rsid w:val="00621E88"/>
    <w:rsid w:val="006222B7"/>
    <w:rsid w:val="006224CF"/>
    <w:rsid w:val="00622DAD"/>
    <w:rsid w:val="00623BA4"/>
    <w:rsid w:val="00625CD7"/>
    <w:rsid w:val="006267CD"/>
    <w:rsid w:val="00626F7E"/>
    <w:rsid w:val="00627CD5"/>
    <w:rsid w:val="00631330"/>
    <w:rsid w:val="00634CF9"/>
    <w:rsid w:val="006351DB"/>
    <w:rsid w:val="006352A7"/>
    <w:rsid w:val="00635A12"/>
    <w:rsid w:val="00636019"/>
    <w:rsid w:val="0063669B"/>
    <w:rsid w:val="006369AB"/>
    <w:rsid w:val="00637482"/>
    <w:rsid w:val="00640459"/>
    <w:rsid w:val="00640696"/>
    <w:rsid w:val="006420DD"/>
    <w:rsid w:val="00642A23"/>
    <w:rsid w:val="00645D4B"/>
    <w:rsid w:val="0065005B"/>
    <w:rsid w:val="00651924"/>
    <w:rsid w:val="00651E49"/>
    <w:rsid w:val="006522B6"/>
    <w:rsid w:val="00653C57"/>
    <w:rsid w:val="0065662C"/>
    <w:rsid w:val="00657E30"/>
    <w:rsid w:val="00661E32"/>
    <w:rsid w:val="00662000"/>
    <w:rsid w:val="0066234E"/>
    <w:rsid w:val="0066288E"/>
    <w:rsid w:val="00662B26"/>
    <w:rsid w:val="00663629"/>
    <w:rsid w:val="00663CDC"/>
    <w:rsid w:val="00663D88"/>
    <w:rsid w:val="006643F6"/>
    <w:rsid w:val="006645B0"/>
    <w:rsid w:val="00664A20"/>
    <w:rsid w:val="00664EEB"/>
    <w:rsid w:val="006659EB"/>
    <w:rsid w:val="00667679"/>
    <w:rsid w:val="0066774D"/>
    <w:rsid w:val="00671A11"/>
    <w:rsid w:val="0067308E"/>
    <w:rsid w:val="006731A6"/>
    <w:rsid w:val="00677459"/>
    <w:rsid w:val="00680341"/>
    <w:rsid w:val="006804F9"/>
    <w:rsid w:val="0068182A"/>
    <w:rsid w:val="00682563"/>
    <w:rsid w:val="00684EA8"/>
    <w:rsid w:val="0068607A"/>
    <w:rsid w:val="00686FDE"/>
    <w:rsid w:val="00691484"/>
    <w:rsid w:val="00696824"/>
    <w:rsid w:val="006A00C3"/>
    <w:rsid w:val="006A0244"/>
    <w:rsid w:val="006A21F5"/>
    <w:rsid w:val="006A2366"/>
    <w:rsid w:val="006A2637"/>
    <w:rsid w:val="006A33C9"/>
    <w:rsid w:val="006A49D1"/>
    <w:rsid w:val="006A5FA4"/>
    <w:rsid w:val="006B020D"/>
    <w:rsid w:val="006B29B1"/>
    <w:rsid w:val="006B3217"/>
    <w:rsid w:val="006B3994"/>
    <w:rsid w:val="006B4941"/>
    <w:rsid w:val="006B5140"/>
    <w:rsid w:val="006B5BB4"/>
    <w:rsid w:val="006B711E"/>
    <w:rsid w:val="006B723D"/>
    <w:rsid w:val="006C14C3"/>
    <w:rsid w:val="006C1625"/>
    <w:rsid w:val="006C269D"/>
    <w:rsid w:val="006C2E70"/>
    <w:rsid w:val="006C47BE"/>
    <w:rsid w:val="006C530E"/>
    <w:rsid w:val="006C794D"/>
    <w:rsid w:val="006C7B49"/>
    <w:rsid w:val="006D032A"/>
    <w:rsid w:val="006D20F0"/>
    <w:rsid w:val="006D2E9F"/>
    <w:rsid w:val="006D398E"/>
    <w:rsid w:val="006D503C"/>
    <w:rsid w:val="006D7C50"/>
    <w:rsid w:val="006E0A4D"/>
    <w:rsid w:val="006E1B03"/>
    <w:rsid w:val="006E2AA0"/>
    <w:rsid w:val="006E334C"/>
    <w:rsid w:val="006E4B75"/>
    <w:rsid w:val="006E5237"/>
    <w:rsid w:val="006E53C4"/>
    <w:rsid w:val="006E5CAA"/>
    <w:rsid w:val="006E6924"/>
    <w:rsid w:val="006E71D8"/>
    <w:rsid w:val="006E72D3"/>
    <w:rsid w:val="006F22F7"/>
    <w:rsid w:val="006F22FA"/>
    <w:rsid w:val="006F31FF"/>
    <w:rsid w:val="006F3D8B"/>
    <w:rsid w:val="006F4C9C"/>
    <w:rsid w:val="006F4D61"/>
    <w:rsid w:val="006F63F6"/>
    <w:rsid w:val="006F6426"/>
    <w:rsid w:val="007004A2"/>
    <w:rsid w:val="0070190E"/>
    <w:rsid w:val="00703011"/>
    <w:rsid w:val="00704A94"/>
    <w:rsid w:val="0070551A"/>
    <w:rsid w:val="0070569E"/>
    <w:rsid w:val="00706ED9"/>
    <w:rsid w:val="00707EB9"/>
    <w:rsid w:val="00710736"/>
    <w:rsid w:val="00711279"/>
    <w:rsid w:val="0071154F"/>
    <w:rsid w:val="00712258"/>
    <w:rsid w:val="00712FB9"/>
    <w:rsid w:val="007133DA"/>
    <w:rsid w:val="007147A6"/>
    <w:rsid w:val="0071522E"/>
    <w:rsid w:val="007160BC"/>
    <w:rsid w:val="0072027C"/>
    <w:rsid w:val="00721137"/>
    <w:rsid w:val="007213A6"/>
    <w:rsid w:val="00721DBC"/>
    <w:rsid w:val="007237DF"/>
    <w:rsid w:val="007240C3"/>
    <w:rsid w:val="007241AB"/>
    <w:rsid w:val="0072505C"/>
    <w:rsid w:val="00725AC8"/>
    <w:rsid w:val="00727C37"/>
    <w:rsid w:val="007311DD"/>
    <w:rsid w:val="00731969"/>
    <w:rsid w:val="00731DBE"/>
    <w:rsid w:val="0073246C"/>
    <w:rsid w:val="00733FC2"/>
    <w:rsid w:val="00735B17"/>
    <w:rsid w:val="00737815"/>
    <w:rsid w:val="0074208D"/>
    <w:rsid w:val="00742248"/>
    <w:rsid w:val="0074279C"/>
    <w:rsid w:val="0074280C"/>
    <w:rsid w:val="0074314C"/>
    <w:rsid w:val="007447CC"/>
    <w:rsid w:val="0074650F"/>
    <w:rsid w:val="00747392"/>
    <w:rsid w:val="00750EEA"/>
    <w:rsid w:val="00751FA6"/>
    <w:rsid w:val="00753654"/>
    <w:rsid w:val="007547C4"/>
    <w:rsid w:val="007560E8"/>
    <w:rsid w:val="007561CD"/>
    <w:rsid w:val="007575CD"/>
    <w:rsid w:val="00757691"/>
    <w:rsid w:val="007602D6"/>
    <w:rsid w:val="00760EEC"/>
    <w:rsid w:val="00760F44"/>
    <w:rsid w:val="0076121B"/>
    <w:rsid w:val="00761B7E"/>
    <w:rsid w:val="007631E8"/>
    <w:rsid w:val="00763D3B"/>
    <w:rsid w:val="00767355"/>
    <w:rsid w:val="007677BE"/>
    <w:rsid w:val="007721E9"/>
    <w:rsid w:val="00772EF4"/>
    <w:rsid w:val="00773415"/>
    <w:rsid w:val="00773945"/>
    <w:rsid w:val="00777E5A"/>
    <w:rsid w:val="00780CF6"/>
    <w:rsid w:val="0078226C"/>
    <w:rsid w:val="007829CB"/>
    <w:rsid w:val="00783CA4"/>
    <w:rsid w:val="007840A1"/>
    <w:rsid w:val="00784C97"/>
    <w:rsid w:val="0078700A"/>
    <w:rsid w:val="00787541"/>
    <w:rsid w:val="00787796"/>
    <w:rsid w:val="00787ADA"/>
    <w:rsid w:val="00790997"/>
    <w:rsid w:val="007920CB"/>
    <w:rsid w:val="0079299A"/>
    <w:rsid w:val="00793C12"/>
    <w:rsid w:val="007A00E9"/>
    <w:rsid w:val="007A25C9"/>
    <w:rsid w:val="007A26AB"/>
    <w:rsid w:val="007A3E9B"/>
    <w:rsid w:val="007B001C"/>
    <w:rsid w:val="007B0F4B"/>
    <w:rsid w:val="007B143C"/>
    <w:rsid w:val="007B2553"/>
    <w:rsid w:val="007B4520"/>
    <w:rsid w:val="007B4621"/>
    <w:rsid w:val="007B4D86"/>
    <w:rsid w:val="007B5E8A"/>
    <w:rsid w:val="007B6F5D"/>
    <w:rsid w:val="007B7384"/>
    <w:rsid w:val="007B76E5"/>
    <w:rsid w:val="007C0A07"/>
    <w:rsid w:val="007C15E7"/>
    <w:rsid w:val="007C1F00"/>
    <w:rsid w:val="007C3600"/>
    <w:rsid w:val="007C507D"/>
    <w:rsid w:val="007C5273"/>
    <w:rsid w:val="007C5BF4"/>
    <w:rsid w:val="007C67C3"/>
    <w:rsid w:val="007C684B"/>
    <w:rsid w:val="007D0F46"/>
    <w:rsid w:val="007D14FF"/>
    <w:rsid w:val="007D22F4"/>
    <w:rsid w:val="007D265C"/>
    <w:rsid w:val="007D2C78"/>
    <w:rsid w:val="007D329F"/>
    <w:rsid w:val="007D3420"/>
    <w:rsid w:val="007D4680"/>
    <w:rsid w:val="007E14E0"/>
    <w:rsid w:val="007E1B5A"/>
    <w:rsid w:val="007E2114"/>
    <w:rsid w:val="007E21C9"/>
    <w:rsid w:val="007E2305"/>
    <w:rsid w:val="007E2D61"/>
    <w:rsid w:val="007E305A"/>
    <w:rsid w:val="007E5ECA"/>
    <w:rsid w:val="007E7AC4"/>
    <w:rsid w:val="007F2553"/>
    <w:rsid w:val="007F2B6C"/>
    <w:rsid w:val="007F4B99"/>
    <w:rsid w:val="007F6A5A"/>
    <w:rsid w:val="007F7204"/>
    <w:rsid w:val="00800366"/>
    <w:rsid w:val="00801D39"/>
    <w:rsid w:val="00801FDF"/>
    <w:rsid w:val="0080204E"/>
    <w:rsid w:val="00803B25"/>
    <w:rsid w:val="008055ED"/>
    <w:rsid w:val="00805B2B"/>
    <w:rsid w:val="00807077"/>
    <w:rsid w:val="008103C5"/>
    <w:rsid w:val="00810C4E"/>
    <w:rsid w:val="00811DC8"/>
    <w:rsid w:val="008125DB"/>
    <w:rsid w:val="0081469E"/>
    <w:rsid w:val="00816DEE"/>
    <w:rsid w:val="008176B2"/>
    <w:rsid w:val="008202AA"/>
    <w:rsid w:val="00822361"/>
    <w:rsid w:val="008226B2"/>
    <w:rsid w:val="00822955"/>
    <w:rsid w:val="00822A9A"/>
    <w:rsid w:val="00822F02"/>
    <w:rsid w:val="00822F4E"/>
    <w:rsid w:val="008234A8"/>
    <w:rsid w:val="00823E48"/>
    <w:rsid w:val="00824572"/>
    <w:rsid w:val="008251C3"/>
    <w:rsid w:val="0082713E"/>
    <w:rsid w:val="008307C3"/>
    <w:rsid w:val="00830945"/>
    <w:rsid w:val="00830FDE"/>
    <w:rsid w:val="008313E7"/>
    <w:rsid w:val="00832544"/>
    <w:rsid w:val="00833E11"/>
    <w:rsid w:val="0083702E"/>
    <w:rsid w:val="0083789E"/>
    <w:rsid w:val="00842E71"/>
    <w:rsid w:val="008441FE"/>
    <w:rsid w:val="00846364"/>
    <w:rsid w:val="00846390"/>
    <w:rsid w:val="00846DD2"/>
    <w:rsid w:val="00847296"/>
    <w:rsid w:val="00850032"/>
    <w:rsid w:val="0085129A"/>
    <w:rsid w:val="0085214B"/>
    <w:rsid w:val="00852F7B"/>
    <w:rsid w:val="00853756"/>
    <w:rsid w:val="008555E2"/>
    <w:rsid w:val="008578CF"/>
    <w:rsid w:val="0086285B"/>
    <w:rsid w:val="00863812"/>
    <w:rsid w:val="00863D67"/>
    <w:rsid w:val="00864680"/>
    <w:rsid w:val="00867233"/>
    <w:rsid w:val="008673C2"/>
    <w:rsid w:val="008679B3"/>
    <w:rsid w:val="00870086"/>
    <w:rsid w:val="0087253F"/>
    <w:rsid w:val="00872EA3"/>
    <w:rsid w:val="00873848"/>
    <w:rsid w:val="00874729"/>
    <w:rsid w:val="008754BD"/>
    <w:rsid w:val="00877BC2"/>
    <w:rsid w:val="00884359"/>
    <w:rsid w:val="0088510F"/>
    <w:rsid w:val="00885642"/>
    <w:rsid w:val="00886E69"/>
    <w:rsid w:val="00887098"/>
    <w:rsid w:val="00887244"/>
    <w:rsid w:val="00887856"/>
    <w:rsid w:val="008916B2"/>
    <w:rsid w:val="00893055"/>
    <w:rsid w:val="0089369A"/>
    <w:rsid w:val="00896237"/>
    <w:rsid w:val="00897765"/>
    <w:rsid w:val="008A15C3"/>
    <w:rsid w:val="008A1663"/>
    <w:rsid w:val="008A33C0"/>
    <w:rsid w:val="008B00E9"/>
    <w:rsid w:val="008B15D4"/>
    <w:rsid w:val="008B1CE4"/>
    <w:rsid w:val="008B47F0"/>
    <w:rsid w:val="008B6301"/>
    <w:rsid w:val="008B727A"/>
    <w:rsid w:val="008B7983"/>
    <w:rsid w:val="008B7BBD"/>
    <w:rsid w:val="008C005B"/>
    <w:rsid w:val="008C11DE"/>
    <w:rsid w:val="008C19F3"/>
    <w:rsid w:val="008C2740"/>
    <w:rsid w:val="008C3EAB"/>
    <w:rsid w:val="008C42DB"/>
    <w:rsid w:val="008C5466"/>
    <w:rsid w:val="008C5C66"/>
    <w:rsid w:val="008C732D"/>
    <w:rsid w:val="008C7ED5"/>
    <w:rsid w:val="008D0F6E"/>
    <w:rsid w:val="008D2C38"/>
    <w:rsid w:val="008D597D"/>
    <w:rsid w:val="008D5EA1"/>
    <w:rsid w:val="008D7421"/>
    <w:rsid w:val="008D7587"/>
    <w:rsid w:val="008E173B"/>
    <w:rsid w:val="008E4ACC"/>
    <w:rsid w:val="008E55B6"/>
    <w:rsid w:val="008F0BF1"/>
    <w:rsid w:val="008F0C47"/>
    <w:rsid w:val="008F1E10"/>
    <w:rsid w:val="008F2468"/>
    <w:rsid w:val="008F4F70"/>
    <w:rsid w:val="008F5653"/>
    <w:rsid w:val="008F5C70"/>
    <w:rsid w:val="008F5EC5"/>
    <w:rsid w:val="008F5F99"/>
    <w:rsid w:val="008F6F80"/>
    <w:rsid w:val="008F7545"/>
    <w:rsid w:val="008F766F"/>
    <w:rsid w:val="008F7D94"/>
    <w:rsid w:val="00901691"/>
    <w:rsid w:val="009040C8"/>
    <w:rsid w:val="00906EE0"/>
    <w:rsid w:val="00907FB1"/>
    <w:rsid w:val="0091091B"/>
    <w:rsid w:val="00910E63"/>
    <w:rsid w:val="00911039"/>
    <w:rsid w:val="00912721"/>
    <w:rsid w:val="00912EBF"/>
    <w:rsid w:val="00914A66"/>
    <w:rsid w:val="0092084C"/>
    <w:rsid w:val="00920ABD"/>
    <w:rsid w:val="0092480D"/>
    <w:rsid w:val="00924AAF"/>
    <w:rsid w:val="009254D8"/>
    <w:rsid w:val="00930304"/>
    <w:rsid w:val="0093069E"/>
    <w:rsid w:val="00932136"/>
    <w:rsid w:val="0093378D"/>
    <w:rsid w:val="009365A0"/>
    <w:rsid w:val="00936B69"/>
    <w:rsid w:val="0094100A"/>
    <w:rsid w:val="00941574"/>
    <w:rsid w:val="009422A8"/>
    <w:rsid w:val="00943022"/>
    <w:rsid w:val="0094555D"/>
    <w:rsid w:val="00947B05"/>
    <w:rsid w:val="0095041C"/>
    <w:rsid w:val="00954070"/>
    <w:rsid w:val="00954430"/>
    <w:rsid w:val="00955895"/>
    <w:rsid w:val="009558CD"/>
    <w:rsid w:val="00956C10"/>
    <w:rsid w:val="009573F1"/>
    <w:rsid w:val="0096026A"/>
    <w:rsid w:val="009609BF"/>
    <w:rsid w:val="00961FC9"/>
    <w:rsid w:val="009624A8"/>
    <w:rsid w:val="00962B18"/>
    <w:rsid w:val="0096478A"/>
    <w:rsid w:val="0096531A"/>
    <w:rsid w:val="00965A67"/>
    <w:rsid w:val="0096621E"/>
    <w:rsid w:val="00970596"/>
    <w:rsid w:val="00970651"/>
    <w:rsid w:val="0097150D"/>
    <w:rsid w:val="00975AAC"/>
    <w:rsid w:val="00976038"/>
    <w:rsid w:val="00977D2A"/>
    <w:rsid w:val="0098122A"/>
    <w:rsid w:val="00981489"/>
    <w:rsid w:val="00981EE9"/>
    <w:rsid w:val="009837FB"/>
    <w:rsid w:val="009842A5"/>
    <w:rsid w:val="009849D1"/>
    <w:rsid w:val="00985BD6"/>
    <w:rsid w:val="00986CDD"/>
    <w:rsid w:val="0099020C"/>
    <w:rsid w:val="00990316"/>
    <w:rsid w:val="00990CDA"/>
    <w:rsid w:val="00990FE1"/>
    <w:rsid w:val="00991261"/>
    <w:rsid w:val="00992340"/>
    <w:rsid w:val="009924B4"/>
    <w:rsid w:val="0099329C"/>
    <w:rsid w:val="00993587"/>
    <w:rsid w:val="0099375D"/>
    <w:rsid w:val="00993E01"/>
    <w:rsid w:val="0099548A"/>
    <w:rsid w:val="009961E4"/>
    <w:rsid w:val="00996D35"/>
    <w:rsid w:val="0099731C"/>
    <w:rsid w:val="009A1A01"/>
    <w:rsid w:val="009A3312"/>
    <w:rsid w:val="009A378A"/>
    <w:rsid w:val="009A5252"/>
    <w:rsid w:val="009A5522"/>
    <w:rsid w:val="009A7B7D"/>
    <w:rsid w:val="009B1C3E"/>
    <w:rsid w:val="009B261F"/>
    <w:rsid w:val="009B3288"/>
    <w:rsid w:val="009B4DD6"/>
    <w:rsid w:val="009B57BA"/>
    <w:rsid w:val="009B5AFF"/>
    <w:rsid w:val="009B5BE8"/>
    <w:rsid w:val="009C058B"/>
    <w:rsid w:val="009C1546"/>
    <w:rsid w:val="009C2904"/>
    <w:rsid w:val="009C2E43"/>
    <w:rsid w:val="009C3516"/>
    <w:rsid w:val="009C357B"/>
    <w:rsid w:val="009C3C3A"/>
    <w:rsid w:val="009C4F2C"/>
    <w:rsid w:val="009C539E"/>
    <w:rsid w:val="009C5DA6"/>
    <w:rsid w:val="009C74B5"/>
    <w:rsid w:val="009D1354"/>
    <w:rsid w:val="009D192D"/>
    <w:rsid w:val="009D1E9F"/>
    <w:rsid w:val="009D215F"/>
    <w:rsid w:val="009D263D"/>
    <w:rsid w:val="009D30FA"/>
    <w:rsid w:val="009D3192"/>
    <w:rsid w:val="009D4A82"/>
    <w:rsid w:val="009D509B"/>
    <w:rsid w:val="009D66ED"/>
    <w:rsid w:val="009D70C9"/>
    <w:rsid w:val="009D7976"/>
    <w:rsid w:val="009E1A0B"/>
    <w:rsid w:val="009E2C74"/>
    <w:rsid w:val="009E35B1"/>
    <w:rsid w:val="009E5904"/>
    <w:rsid w:val="009E5ED9"/>
    <w:rsid w:val="009E66B1"/>
    <w:rsid w:val="009F095F"/>
    <w:rsid w:val="009F125C"/>
    <w:rsid w:val="009F1834"/>
    <w:rsid w:val="009F4708"/>
    <w:rsid w:val="009F5C07"/>
    <w:rsid w:val="009F5E7F"/>
    <w:rsid w:val="009F6D3D"/>
    <w:rsid w:val="009F74EB"/>
    <w:rsid w:val="009F7AA9"/>
    <w:rsid w:val="00A010AE"/>
    <w:rsid w:val="00A01AC3"/>
    <w:rsid w:val="00A02A5A"/>
    <w:rsid w:val="00A02CDE"/>
    <w:rsid w:val="00A0343B"/>
    <w:rsid w:val="00A04A70"/>
    <w:rsid w:val="00A05C5A"/>
    <w:rsid w:val="00A103B8"/>
    <w:rsid w:val="00A10DF0"/>
    <w:rsid w:val="00A11F49"/>
    <w:rsid w:val="00A13059"/>
    <w:rsid w:val="00A1476F"/>
    <w:rsid w:val="00A155D7"/>
    <w:rsid w:val="00A2320B"/>
    <w:rsid w:val="00A235C5"/>
    <w:rsid w:val="00A23AAF"/>
    <w:rsid w:val="00A23B99"/>
    <w:rsid w:val="00A24170"/>
    <w:rsid w:val="00A2453B"/>
    <w:rsid w:val="00A24975"/>
    <w:rsid w:val="00A24F88"/>
    <w:rsid w:val="00A25976"/>
    <w:rsid w:val="00A26721"/>
    <w:rsid w:val="00A26EA4"/>
    <w:rsid w:val="00A272A9"/>
    <w:rsid w:val="00A30CE2"/>
    <w:rsid w:val="00A31128"/>
    <w:rsid w:val="00A32C45"/>
    <w:rsid w:val="00A32D8E"/>
    <w:rsid w:val="00A33733"/>
    <w:rsid w:val="00A40575"/>
    <w:rsid w:val="00A41169"/>
    <w:rsid w:val="00A411A8"/>
    <w:rsid w:val="00A44CB2"/>
    <w:rsid w:val="00A45250"/>
    <w:rsid w:val="00A465C0"/>
    <w:rsid w:val="00A47166"/>
    <w:rsid w:val="00A55CDC"/>
    <w:rsid w:val="00A56AC8"/>
    <w:rsid w:val="00A57D21"/>
    <w:rsid w:val="00A614E4"/>
    <w:rsid w:val="00A62DF1"/>
    <w:rsid w:val="00A62F2D"/>
    <w:rsid w:val="00A64FC4"/>
    <w:rsid w:val="00A65032"/>
    <w:rsid w:val="00A65489"/>
    <w:rsid w:val="00A71B65"/>
    <w:rsid w:val="00A721F3"/>
    <w:rsid w:val="00A74201"/>
    <w:rsid w:val="00A75F33"/>
    <w:rsid w:val="00A76669"/>
    <w:rsid w:val="00A76CD3"/>
    <w:rsid w:val="00A8078F"/>
    <w:rsid w:val="00A8138C"/>
    <w:rsid w:val="00A8148B"/>
    <w:rsid w:val="00A81562"/>
    <w:rsid w:val="00A826BD"/>
    <w:rsid w:val="00A82750"/>
    <w:rsid w:val="00A82D89"/>
    <w:rsid w:val="00A82EA1"/>
    <w:rsid w:val="00A82F69"/>
    <w:rsid w:val="00A83A3C"/>
    <w:rsid w:val="00A8430A"/>
    <w:rsid w:val="00A84461"/>
    <w:rsid w:val="00A87878"/>
    <w:rsid w:val="00A87A3A"/>
    <w:rsid w:val="00A91E93"/>
    <w:rsid w:val="00A95EF7"/>
    <w:rsid w:val="00A97368"/>
    <w:rsid w:val="00A97419"/>
    <w:rsid w:val="00AA03E3"/>
    <w:rsid w:val="00AA1657"/>
    <w:rsid w:val="00AA1CB9"/>
    <w:rsid w:val="00AA2796"/>
    <w:rsid w:val="00AA2C5D"/>
    <w:rsid w:val="00AA3B16"/>
    <w:rsid w:val="00AA41DA"/>
    <w:rsid w:val="00AA646B"/>
    <w:rsid w:val="00AA6BAB"/>
    <w:rsid w:val="00AB0506"/>
    <w:rsid w:val="00AB175D"/>
    <w:rsid w:val="00AB6FA1"/>
    <w:rsid w:val="00AB7AAE"/>
    <w:rsid w:val="00AC06F0"/>
    <w:rsid w:val="00AC100E"/>
    <w:rsid w:val="00AC3401"/>
    <w:rsid w:val="00AC3B8E"/>
    <w:rsid w:val="00AC424C"/>
    <w:rsid w:val="00AC5D90"/>
    <w:rsid w:val="00AC5DB1"/>
    <w:rsid w:val="00AC6218"/>
    <w:rsid w:val="00AC6908"/>
    <w:rsid w:val="00AD0F57"/>
    <w:rsid w:val="00AD2EF1"/>
    <w:rsid w:val="00AD324C"/>
    <w:rsid w:val="00AD475B"/>
    <w:rsid w:val="00AD4A4D"/>
    <w:rsid w:val="00AE17E3"/>
    <w:rsid w:val="00AE24BC"/>
    <w:rsid w:val="00AE62C2"/>
    <w:rsid w:val="00AE7846"/>
    <w:rsid w:val="00AE7D1E"/>
    <w:rsid w:val="00AF0055"/>
    <w:rsid w:val="00AF1176"/>
    <w:rsid w:val="00AF2C27"/>
    <w:rsid w:val="00AF3CBF"/>
    <w:rsid w:val="00AF5204"/>
    <w:rsid w:val="00AF55CD"/>
    <w:rsid w:val="00B00B76"/>
    <w:rsid w:val="00B00C48"/>
    <w:rsid w:val="00B01185"/>
    <w:rsid w:val="00B0168E"/>
    <w:rsid w:val="00B01A25"/>
    <w:rsid w:val="00B049BE"/>
    <w:rsid w:val="00B0515F"/>
    <w:rsid w:val="00B05878"/>
    <w:rsid w:val="00B06737"/>
    <w:rsid w:val="00B113ED"/>
    <w:rsid w:val="00B13BB4"/>
    <w:rsid w:val="00B1437F"/>
    <w:rsid w:val="00B14FB3"/>
    <w:rsid w:val="00B152DC"/>
    <w:rsid w:val="00B15701"/>
    <w:rsid w:val="00B15A09"/>
    <w:rsid w:val="00B16738"/>
    <w:rsid w:val="00B16928"/>
    <w:rsid w:val="00B172D2"/>
    <w:rsid w:val="00B17829"/>
    <w:rsid w:val="00B17D2B"/>
    <w:rsid w:val="00B218AE"/>
    <w:rsid w:val="00B22105"/>
    <w:rsid w:val="00B223F7"/>
    <w:rsid w:val="00B24946"/>
    <w:rsid w:val="00B2600A"/>
    <w:rsid w:val="00B27E62"/>
    <w:rsid w:val="00B30272"/>
    <w:rsid w:val="00B30874"/>
    <w:rsid w:val="00B31EDD"/>
    <w:rsid w:val="00B3286A"/>
    <w:rsid w:val="00B33457"/>
    <w:rsid w:val="00B345F7"/>
    <w:rsid w:val="00B36523"/>
    <w:rsid w:val="00B366E9"/>
    <w:rsid w:val="00B368B8"/>
    <w:rsid w:val="00B37432"/>
    <w:rsid w:val="00B414AC"/>
    <w:rsid w:val="00B42688"/>
    <w:rsid w:val="00B44647"/>
    <w:rsid w:val="00B44E6F"/>
    <w:rsid w:val="00B45B44"/>
    <w:rsid w:val="00B45B59"/>
    <w:rsid w:val="00B46D9B"/>
    <w:rsid w:val="00B4727F"/>
    <w:rsid w:val="00B47B2A"/>
    <w:rsid w:val="00B50450"/>
    <w:rsid w:val="00B51C2C"/>
    <w:rsid w:val="00B524FD"/>
    <w:rsid w:val="00B54483"/>
    <w:rsid w:val="00B557B7"/>
    <w:rsid w:val="00B561A2"/>
    <w:rsid w:val="00B57043"/>
    <w:rsid w:val="00B574C4"/>
    <w:rsid w:val="00B619DB"/>
    <w:rsid w:val="00B6382A"/>
    <w:rsid w:val="00B63BDC"/>
    <w:rsid w:val="00B6502C"/>
    <w:rsid w:val="00B65461"/>
    <w:rsid w:val="00B6576E"/>
    <w:rsid w:val="00B660CA"/>
    <w:rsid w:val="00B67B4C"/>
    <w:rsid w:val="00B67B9D"/>
    <w:rsid w:val="00B71CAA"/>
    <w:rsid w:val="00B723E7"/>
    <w:rsid w:val="00B73793"/>
    <w:rsid w:val="00B73EEA"/>
    <w:rsid w:val="00B74E1D"/>
    <w:rsid w:val="00B75825"/>
    <w:rsid w:val="00B75B22"/>
    <w:rsid w:val="00B76761"/>
    <w:rsid w:val="00B771D7"/>
    <w:rsid w:val="00B77744"/>
    <w:rsid w:val="00B77ADF"/>
    <w:rsid w:val="00B80431"/>
    <w:rsid w:val="00B80E12"/>
    <w:rsid w:val="00B81181"/>
    <w:rsid w:val="00B83D88"/>
    <w:rsid w:val="00B84C35"/>
    <w:rsid w:val="00B850F0"/>
    <w:rsid w:val="00B853B4"/>
    <w:rsid w:val="00B868E2"/>
    <w:rsid w:val="00B8701D"/>
    <w:rsid w:val="00B90666"/>
    <w:rsid w:val="00B9092C"/>
    <w:rsid w:val="00B90C03"/>
    <w:rsid w:val="00B92647"/>
    <w:rsid w:val="00B92760"/>
    <w:rsid w:val="00B92F36"/>
    <w:rsid w:val="00B92F40"/>
    <w:rsid w:val="00B94F6A"/>
    <w:rsid w:val="00B9587B"/>
    <w:rsid w:val="00B96276"/>
    <w:rsid w:val="00B97919"/>
    <w:rsid w:val="00BA08CB"/>
    <w:rsid w:val="00BA1A86"/>
    <w:rsid w:val="00BA1CDF"/>
    <w:rsid w:val="00BA1FF3"/>
    <w:rsid w:val="00BA2267"/>
    <w:rsid w:val="00BA39C8"/>
    <w:rsid w:val="00BA3A2A"/>
    <w:rsid w:val="00BA668C"/>
    <w:rsid w:val="00BA793A"/>
    <w:rsid w:val="00BB0606"/>
    <w:rsid w:val="00BB1431"/>
    <w:rsid w:val="00BB498D"/>
    <w:rsid w:val="00BB4F9B"/>
    <w:rsid w:val="00BB7117"/>
    <w:rsid w:val="00BB74E5"/>
    <w:rsid w:val="00BB7B90"/>
    <w:rsid w:val="00BC23F7"/>
    <w:rsid w:val="00BC2DF1"/>
    <w:rsid w:val="00BC43B7"/>
    <w:rsid w:val="00BC6F39"/>
    <w:rsid w:val="00BD0CB1"/>
    <w:rsid w:val="00BD22FE"/>
    <w:rsid w:val="00BD3A95"/>
    <w:rsid w:val="00BD3AC6"/>
    <w:rsid w:val="00BD458B"/>
    <w:rsid w:val="00BD511B"/>
    <w:rsid w:val="00BD55AD"/>
    <w:rsid w:val="00BD6A8F"/>
    <w:rsid w:val="00BD734A"/>
    <w:rsid w:val="00BE079D"/>
    <w:rsid w:val="00BE0EA7"/>
    <w:rsid w:val="00BE0F3A"/>
    <w:rsid w:val="00BE1438"/>
    <w:rsid w:val="00BE1CD6"/>
    <w:rsid w:val="00BE20FE"/>
    <w:rsid w:val="00BE4933"/>
    <w:rsid w:val="00BE520A"/>
    <w:rsid w:val="00BE5A41"/>
    <w:rsid w:val="00BE65C7"/>
    <w:rsid w:val="00BE710C"/>
    <w:rsid w:val="00BE780A"/>
    <w:rsid w:val="00BF095F"/>
    <w:rsid w:val="00BF1A24"/>
    <w:rsid w:val="00BF2779"/>
    <w:rsid w:val="00BF38BD"/>
    <w:rsid w:val="00BF49AF"/>
    <w:rsid w:val="00BF4B99"/>
    <w:rsid w:val="00BF4D2C"/>
    <w:rsid w:val="00BF4EF9"/>
    <w:rsid w:val="00BF63F1"/>
    <w:rsid w:val="00C00BF9"/>
    <w:rsid w:val="00C02324"/>
    <w:rsid w:val="00C023D0"/>
    <w:rsid w:val="00C032CB"/>
    <w:rsid w:val="00C05688"/>
    <w:rsid w:val="00C06A5B"/>
    <w:rsid w:val="00C07BBA"/>
    <w:rsid w:val="00C102A2"/>
    <w:rsid w:val="00C11973"/>
    <w:rsid w:val="00C1238B"/>
    <w:rsid w:val="00C139EA"/>
    <w:rsid w:val="00C14056"/>
    <w:rsid w:val="00C15434"/>
    <w:rsid w:val="00C200AF"/>
    <w:rsid w:val="00C20685"/>
    <w:rsid w:val="00C20F65"/>
    <w:rsid w:val="00C21180"/>
    <w:rsid w:val="00C2136B"/>
    <w:rsid w:val="00C21402"/>
    <w:rsid w:val="00C222BB"/>
    <w:rsid w:val="00C22668"/>
    <w:rsid w:val="00C2295E"/>
    <w:rsid w:val="00C22DC0"/>
    <w:rsid w:val="00C2426D"/>
    <w:rsid w:val="00C320BC"/>
    <w:rsid w:val="00C330D1"/>
    <w:rsid w:val="00C343EA"/>
    <w:rsid w:val="00C36025"/>
    <w:rsid w:val="00C37CB2"/>
    <w:rsid w:val="00C4180E"/>
    <w:rsid w:val="00C4582A"/>
    <w:rsid w:val="00C45ABB"/>
    <w:rsid w:val="00C4663A"/>
    <w:rsid w:val="00C47F9B"/>
    <w:rsid w:val="00C512A8"/>
    <w:rsid w:val="00C52F45"/>
    <w:rsid w:val="00C544F0"/>
    <w:rsid w:val="00C56490"/>
    <w:rsid w:val="00C6091A"/>
    <w:rsid w:val="00C6091E"/>
    <w:rsid w:val="00C62698"/>
    <w:rsid w:val="00C63294"/>
    <w:rsid w:val="00C6356F"/>
    <w:rsid w:val="00C6447D"/>
    <w:rsid w:val="00C654E0"/>
    <w:rsid w:val="00C65BF3"/>
    <w:rsid w:val="00C66AE9"/>
    <w:rsid w:val="00C7086A"/>
    <w:rsid w:val="00C7093D"/>
    <w:rsid w:val="00C71174"/>
    <w:rsid w:val="00C7127C"/>
    <w:rsid w:val="00C71755"/>
    <w:rsid w:val="00C72791"/>
    <w:rsid w:val="00C7282C"/>
    <w:rsid w:val="00C72C6E"/>
    <w:rsid w:val="00C7327C"/>
    <w:rsid w:val="00C74130"/>
    <w:rsid w:val="00C75D10"/>
    <w:rsid w:val="00C762D2"/>
    <w:rsid w:val="00C7639A"/>
    <w:rsid w:val="00C7764D"/>
    <w:rsid w:val="00C77A1C"/>
    <w:rsid w:val="00C807D4"/>
    <w:rsid w:val="00C81944"/>
    <w:rsid w:val="00C81BDD"/>
    <w:rsid w:val="00C82C00"/>
    <w:rsid w:val="00C8492A"/>
    <w:rsid w:val="00C84C2E"/>
    <w:rsid w:val="00C85C63"/>
    <w:rsid w:val="00C87B05"/>
    <w:rsid w:val="00C91C97"/>
    <w:rsid w:val="00C93040"/>
    <w:rsid w:val="00C9393A"/>
    <w:rsid w:val="00C949CB"/>
    <w:rsid w:val="00C94A16"/>
    <w:rsid w:val="00C94CC6"/>
    <w:rsid w:val="00C96D1C"/>
    <w:rsid w:val="00C97DCE"/>
    <w:rsid w:val="00CA21C9"/>
    <w:rsid w:val="00CA3652"/>
    <w:rsid w:val="00CA45FC"/>
    <w:rsid w:val="00CA5D21"/>
    <w:rsid w:val="00CA6373"/>
    <w:rsid w:val="00CA6E29"/>
    <w:rsid w:val="00CA705C"/>
    <w:rsid w:val="00CB1364"/>
    <w:rsid w:val="00CB2A1E"/>
    <w:rsid w:val="00CB3E9C"/>
    <w:rsid w:val="00CB4DA2"/>
    <w:rsid w:val="00CB66AD"/>
    <w:rsid w:val="00CB66E4"/>
    <w:rsid w:val="00CB694C"/>
    <w:rsid w:val="00CC02F0"/>
    <w:rsid w:val="00CC17DA"/>
    <w:rsid w:val="00CC2755"/>
    <w:rsid w:val="00CC28E7"/>
    <w:rsid w:val="00CC29FE"/>
    <w:rsid w:val="00CC31FB"/>
    <w:rsid w:val="00CC44F9"/>
    <w:rsid w:val="00CC4E46"/>
    <w:rsid w:val="00CC500B"/>
    <w:rsid w:val="00CC5538"/>
    <w:rsid w:val="00CC6997"/>
    <w:rsid w:val="00CC76D7"/>
    <w:rsid w:val="00CD0249"/>
    <w:rsid w:val="00CD091A"/>
    <w:rsid w:val="00CD1247"/>
    <w:rsid w:val="00CD1EF6"/>
    <w:rsid w:val="00CD31C3"/>
    <w:rsid w:val="00CD339D"/>
    <w:rsid w:val="00CD3560"/>
    <w:rsid w:val="00CD4DD5"/>
    <w:rsid w:val="00CD4EAA"/>
    <w:rsid w:val="00CD6C5A"/>
    <w:rsid w:val="00CD6DEE"/>
    <w:rsid w:val="00CD7A32"/>
    <w:rsid w:val="00CE391B"/>
    <w:rsid w:val="00CE3CD9"/>
    <w:rsid w:val="00CF061A"/>
    <w:rsid w:val="00CF2287"/>
    <w:rsid w:val="00CF25F1"/>
    <w:rsid w:val="00CF264F"/>
    <w:rsid w:val="00CF2A7E"/>
    <w:rsid w:val="00CF35D9"/>
    <w:rsid w:val="00CF3E88"/>
    <w:rsid w:val="00CF5143"/>
    <w:rsid w:val="00CF5BB9"/>
    <w:rsid w:val="00CF6B10"/>
    <w:rsid w:val="00CF6BD7"/>
    <w:rsid w:val="00CF75B7"/>
    <w:rsid w:val="00CF7C1F"/>
    <w:rsid w:val="00D013A2"/>
    <w:rsid w:val="00D02EE5"/>
    <w:rsid w:val="00D0362C"/>
    <w:rsid w:val="00D0368F"/>
    <w:rsid w:val="00D056D7"/>
    <w:rsid w:val="00D05BE9"/>
    <w:rsid w:val="00D07F15"/>
    <w:rsid w:val="00D11401"/>
    <w:rsid w:val="00D11758"/>
    <w:rsid w:val="00D11BF6"/>
    <w:rsid w:val="00D13621"/>
    <w:rsid w:val="00D141DF"/>
    <w:rsid w:val="00D14214"/>
    <w:rsid w:val="00D14A07"/>
    <w:rsid w:val="00D14C51"/>
    <w:rsid w:val="00D16707"/>
    <w:rsid w:val="00D1690A"/>
    <w:rsid w:val="00D17F6F"/>
    <w:rsid w:val="00D21860"/>
    <w:rsid w:val="00D21BDE"/>
    <w:rsid w:val="00D226E5"/>
    <w:rsid w:val="00D23AC5"/>
    <w:rsid w:val="00D240C7"/>
    <w:rsid w:val="00D24339"/>
    <w:rsid w:val="00D24930"/>
    <w:rsid w:val="00D24AFE"/>
    <w:rsid w:val="00D267F1"/>
    <w:rsid w:val="00D30A36"/>
    <w:rsid w:val="00D310E9"/>
    <w:rsid w:val="00D324C7"/>
    <w:rsid w:val="00D34A22"/>
    <w:rsid w:val="00D35132"/>
    <w:rsid w:val="00D35CCE"/>
    <w:rsid w:val="00D36415"/>
    <w:rsid w:val="00D36A15"/>
    <w:rsid w:val="00D370CB"/>
    <w:rsid w:val="00D37D3B"/>
    <w:rsid w:val="00D411E8"/>
    <w:rsid w:val="00D4127B"/>
    <w:rsid w:val="00D41FC9"/>
    <w:rsid w:val="00D421B3"/>
    <w:rsid w:val="00D429E4"/>
    <w:rsid w:val="00D42AF9"/>
    <w:rsid w:val="00D4301C"/>
    <w:rsid w:val="00D439E0"/>
    <w:rsid w:val="00D43BDB"/>
    <w:rsid w:val="00D43F08"/>
    <w:rsid w:val="00D44B5C"/>
    <w:rsid w:val="00D45DFD"/>
    <w:rsid w:val="00D4779D"/>
    <w:rsid w:val="00D50753"/>
    <w:rsid w:val="00D51041"/>
    <w:rsid w:val="00D5108D"/>
    <w:rsid w:val="00D51505"/>
    <w:rsid w:val="00D51A68"/>
    <w:rsid w:val="00D5256D"/>
    <w:rsid w:val="00D53BB3"/>
    <w:rsid w:val="00D53E8A"/>
    <w:rsid w:val="00D54617"/>
    <w:rsid w:val="00D561F5"/>
    <w:rsid w:val="00D562E2"/>
    <w:rsid w:val="00D5785A"/>
    <w:rsid w:val="00D57D98"/>
    <w:rsid w:val="00D57E2C"/>
    <w:rsid w:val="00D6143E"/>
    <w:rsid w:val="00D61694"/>
    <w:rsid w:val="00D61BED"/>
    <w:rsid w:val="00D64055"/>
    <w:rsid w:val="00D64147"/>
    <w:rsid w:val="00D6490C"/>
    <w:rsid w:val="00D64DF4"/>
    <w:rsid w:val="00D650D1"/>
    <w:rsid w:val="00D654D6"/>
    <w:rsid w:val="00D65B02"/>
    <w:rsid w:val="00D6604B"/>
    <w:rsid w:val="00D67FD1"/>
    <w:rsid w:val="00D704AD"/>
    <w:rsid w:val="00D7367D"/>
    <w:rsid w:val="00D73A0D"/>
    <w:rsid w:val="00D73D69"/>
    <w:rsid w:val="00D749C5"/>
    <w:rsid w:val="00D74A45"/>
    <w:rsid w:val="00D75495"/>
    <w:rsid w:val="00D758A6"/>
    <w:rsid w:val="00D76D1F"/>
    <w:rsid w:val="00D76D93"/>
    <w:rsid w:val="00D7793A"/>
    <w:rsid w:val="00D81561"/>
    <w:rsid w:val="00D815FC"/>
    <w:rsid w:val="00D8481E"/>
    <w:rsid w:val="00D84C5E"/>
    <w:rsid w:val="00D856BD"/>
    <w:rsid w:val="00D8610D"/>
    <w:rsid w:val="00D86300"/>
    <w:rsid w:val="00D869D4"/>
    <w:rsid w:val="00D86C9C"/>
    <w:rsid w:val="00D86EB1"/>
    <w:rsid w:val="00D902E5"/>
    <w:rsid w:val="00D91AB3"/>
    <w:rsid w:val="00D949D0"/>
    <w:rsid w:val="00D970C8"/>
    <w:rsid w:val="00D97509"/>
    <w:rsid w:val="00DA0AA5"/>
    <w:rsid w:val="00DA2167"/>
    <w:rsid w:val="00DA31C4"/>
    <w:rsid w:val="00DA3EE2"/>
    <w:rsid w:val="00DA5794"/>
    <w:rsid w:val="00DB0EC1"/>
    <w:rsid w:val="00DB2093"/>
    <w:rsid w:val="00DB3C1E"/>
    <w:rsid w:val="00DB4DAC"/>
    <w:rsid w:val="00DC017E"/>
    <w:rsid w:val="00DC0C14"/>
    <w:rsid w:val="00DC0FB5"/>
    <w:rsid w:val="00DC1ACC"/>
    <w:rsid w:val="00DC2128"/>
    <w:rsid w:val="00DC2689"/>
    <w:rsid w:val="00DC300A"/>
    <w:rsid w:val="00DC3AFF"/>
    <w:rsid w:val="00DC3F73"/>
    <w:rsid w:val="00DC690F"/>
    <w:rsid w:val="00DC6FA9"/>
    <w:rsid w:val="00DD0B63"/>
    <w:rsid w:val="00DD15F4"/>
    <w:rsid w:val="00DD6482"/>
    <w:rsid w:val="00DE0F89"/>
    <w:rsid w:val="00DE340F"/>
    <w:rsid w:val="00DE4C6F"/>
    <w:rsid w:val="00DE661E"/>
    <w:rsid w:val="00DE68E0"/>
    <w:rsid w:val="00DF1593"/>
    <w:rsid w:val="00DF3AF1"/>
    <w:rsid w:val="00DF3E0A"/>
    <w:rsid w:val="00DF4443"/>
    <w:rsid w:val="00DF6C0C"/>
    <w:rsid w:val="00DF6F96"/>
    <w:rsid w:val="00E00140"/>
    <w:rsid w:val="00E00455"/>
    <w:rsid w:val="00E017CF"/>
    <w:rsid w:val="00E030A6"/>
    <w:rsid w:val="00E04354"/>
    <w:rsid w:val="00E04F77"/>
    <w:rsid w:val="00E06001"/>
    <w:rsid w:val="00E07071"/>
    <w:rsid w:val="00E079B6"/>
    <w:rsid w:val="00E07CC3"/>
    <w:rsid w:val="00E102A6"/>
    <w:rsid w:val="00E11D7B"/>
    <w:rsid w:val="00E152C7"/>
    <w:rsid w:val="00E15BC9"/>
    <w:rsid w:val="00E165BF"/>
    <w:rsid w:val="00E219FE"/>
    <w:rsid w:val="00E226BE"/>
    <w:rsid w:val="00E24444"/>
    <w:rsid w:val="00E30E2E"/>
    <w:rsid w:val="00E319B4"/>
    <w:rsid w:val="00E31B1C"/>
    <w:rsid w:val="00E31B22"/>
    <w:rsid w:val="00E31DBB"/>
    <w:rsid w:val="00E330ED"/>
    <w:rsid w:val="00E3408C"/>
    <w:rsid w:val="00E34F51"/>
    <w:rsid w:val="00E37955"/>
    <w:rsid w:val="00E41819"/>
    <w:rsid w:val="00E422F2"/>
    <w:rsid w:val="00E43064"/>
    <w:rsid w:val="00E431BA"/>
    <w:rsid w:val="00E43C7C"/>
    <w:rsid w:val="00E47443"/>
    <w:rsid w:val="00E5178B"/>
    <w:rsid w:val="00E518B8"/>
    <w:rsid w:val="00E52640"/>
    <w:rsid w:val="00E52E8C"/>
    <w:rsid w:val="00E55C79"/>
    <w:rsid w:val="00E55F6A"/>
    <w:rsid w:val="00E5716A"/>
    <w:rsid w:val="00E57546"/>
    <w:rsid w:val="00E57BA8"/>
    <w:rsid w:val="00E6068C"/>
    <w:rsid w:val="00E62B1E"/>
    <w:rsid w:val="00E63FD7"/>
    <w:rsid w:val="00E7289B"/>
    <w:rsid w:val="00E75BB9"/>
    <w:rsid w:val="00E77B73"/>
    <w:rsid w:val="00E80C7A"/>
    <w:rsid w:val="00E80EAE"/>
    <w:rsid w:val="00E81298"/>
    <w:rsid w:val="00E849BA"/>
    <w:rsid w:val="00E873DB"/>
    <w:rsid w:val="00E875E0"/>
    <w:rsid w:val="00E905E9"/>
    <w:rsid w:val="00E90BAD"/>
    <w:rsid w:val="00E91139"/>
    <w:rsid w:val="00E92EA2"/>
    <w:rsid w:val="00E94B6A"/>
    <w:rsid w:val="00E94F5C"/>
    <w:rsid w:val="00E96E75"/>
    <w:rsid w:val="00EA06CC"/>
    <w:rsid w:val="00EA0A99"/>
    <w:rsid w:val="00EA26E9"/>
    <w:rsid w:val="00EA2EB1"/>
    <w:rsid w:val="00EA394F"/>
    <w:rsid w:val="00EA3A1B"/>
    <w:rsid w:val="00EA6581"/>
    <w:rsid w:val="00EA7658"/>
    <w:rsid w:val="00EA76E2"/>
    <w:rsid w:val="00EB06DB"/>
    <w:rsid w:val="00EB0D35"/>
    <w:rsid w:val="00EB2119"/>
    <w:rsid w:val="00EB236C"/>
    <w:rsid w:val="00EB24A4"/>
    <w:rsid w:val="00EB2E06"/>
    <w:rsid w:val="00EB7013"/>
    <w:rsid w:val="00EC1ACE"/>
    <w:rsid w:val="00EC69BB"/>
    <w:rsid w:val="00ED0A7F"/>
    <w:rsid w:val="00ED105A"/>
    <w:rsid w:val="00ED3A58"/>
    <w:rsid w:val="00ED46B3"/>
    <w:rsid w:val="00ED4F7C"/>
    <w:rsid w:val="00ED5420"/>
    <w:rsid w:val="00ED707F"/>
    <w:rsid w:val="00ED70BF"/>
    <w:rsid w:val="00ED7E45"/>
    <w:rsid w:val="00EE032C"/>
    <w:rsid w:val="00EE33B3"/>
    <w:rsid w:val="00EE4EC7"/>
    <w:rsid w:val="00EE549C"/>
    <w:rsid w:val="00EE5A67"/>
    <w:rsid w:val="00EE5EE8"/>
    <w:rsid w:val="00EE69A9"/>
    <w:rsid w:val="00EE7836"/>
    <w:rsid w:val="00EF0226"/>
    <w:rsid w:val="00EF03C1"/>
    <w:rsid w:val="00EF2422"/>
    <w:rsid w:val="00EF4034"/>
    <w:rsid w:val="00EF6CE8"/>
    <w:rsid w:val="00F000D7"/>
    <w:rsid w:val="00F01C0F"/>
    <w:rsid w:val="00F0238B"/>
    <w:rsid w:val="00F0333C"/>
    <w:rsid w:val="00F03E04"/>
    <w:rsid w:val="00F03F7F"/>
    <w:rsid w:val="00F0450A"/>
    <w:rsid w:val="00F05595"/>
    <w:rsid w:val="00F059FC"/>
    <w:rsid w:val="00F06D95"/>
    <w:rsid w:val="00F07675"/>
    <w:rsid w:val="00F07DE8"/>
    <w:rsid w:val="00F100C8"/>
    <w:rsid w:val="00F11738"/>
    <w:rsid w:val="00F11D4C"/>
    <w:rsid w:val="00F11EC4"/>
    <w:rsid w:val="00F129EF"/>
    <w:rsid w:val="00F15602"/>
    <w:rsid w:val="00F17165"/>
    <w:rsid w:val="00F20E71"/>
    <w:rsid w:val="00F21F95"/>
    <w:rsid w:val="00F240F5"/>
    <w:rsid w:val="00F244EA"/>
    <w:rsid w:val="00F24693"/>
    <w:rsid w:val="00F261E9"/>
    <w:rsid w:val="00F2683F"/>
    <w:rsid w:val="00F26B59"/>
    <w:rsid w:val="00F31673"/>
    <w:rsid w:val="00F31C7F"/>
    <w:rsid w:val="00F33980"/>
    <w:rsid w:val="00F33B07"/>
    <w:rsid w:val="00F33F92"/>
    <w:rsid w:val="00F363D4"/>
    <w:rsid w:val="00F369FF"/>
    <w:rsid w:val="00F36FC9"/>
    <w:rsid w:val="00F374F9"/>
    <w:rsid w:val="00F40BEC"/>
    <w:rsid w:val="00F416AB"/>
    <w:rsid w:val="00F4451E"/>
    <w:rsid w:val="00F44F57"/>
    <w:rsid w:val="00F44FBD"/>
    <w:rsid w:val="00F45EAC"/>
    <w:rsid w:val="00F460AB"/>
    <w:rsid w:val="00F468EE"/>
    <w:rsid w:val="00F47026"/>
    <w:rsid w:val="00F47A6E"/>
    <w:rsid w:val="00F50DB4"/>
    <w:rsid w:val="00F51DAD"/>
    <w:rsid w:val="00F51DF9"/>
    <w:rsid w:val="00F5402D"/>
    <w:rsid w:val="00F632B2"/>
    <w:rsid w:val="00F63982"/>
    <w:rsid w:val="00F64B7E"/>
    <w:rsid w:val="00F66260"/>
    <w:rsid w:val="00F6685E"/>
    <w:rsid w:val="00F72BC7"/>
    <w:rsid w:val="00F75624"/>
    <w:rsid w:val="00F760BB"/>
    <w:rsid w:val="00F76867"/>
    <w:rsid w:val="00F812A6"/>
    <w:rsid w:val="00F81D1E"/>
    <w:rsid w:val="00F8237A"/>
    <w:rsid w:val="00F82C0F"/>
    <w:rsid w:val="00F82EFA"/>
    <w:rsid w:val="00F8392F"/>
    <w:rsid w:val="00F8476E"/>
    <w:rsid w:val="00F84EE6"/>
    <w:rsid w:val="00F852B8"/>
    <w:rsid w:val="00F857FB"/>
    <w:rsid w:val="00F85E76"/>
    <w:rsid w:val="00F86ECC"/>
    <w:rsid w:val="00F87E70"/>
    <w:rsid w:val="00F9155B"/>
    <w:rsid w:val="00F91D52"/>
    <w:rsid w:val="00F9381A"/>
    <w:rsid w:val="00F941B7"/>
    <w:rsid w:val="00F94520"/>
    <w:rsid w:val="00F945E1"/>
    <w:rsid w:val="00F949ED"/>
    <w:rsid w:val="00F94CCC"/>
    <w:rsid w:val="00F94F27"/>
    <w:rsid w:val="00F96052"/>
    <w:rsid w:val="00F96A17"/>
    <w:rsid w:val="00F97D86"/>
    <w:rsid w:val="00FA103D"/>
    <w:rsid w:val="00FA15ED"/>
    <w:rsid w:val="00FA2547"/>
    <w:rsid w:val="00FA2A37"/>
    <w:rsid w:val="00FA2AB2"/>
    <w:rsid w:val="00FA7E8D"/>
    <w:rsid w:val="00FB03A1"/>
    <w:rsid w:val="00FB13FF"/>
    <w:rsid w:val="00FB1441"/>
    <w:rsid w:val="00FB1828"/>
    <w:rsid w:val="00FB40BC"/>
    <w:rsid w:val="00FB47B8"/>
    <w:rsid w:val="00FB4B04"/>
    <w:rsid w:val="00FB4EED"/>
    <w:rsid w:val="00FB513B"/>
    <w:rsid w:val="00FB55D3"/>
    <w:rsid w:val="00FB592A"/>
    <w:rsid w:val="00FB62BA"/>
    <w:rsid w:val="00FB7968"/>
    <w:rsid w:val="00FB7E58"/>
    <w:rsid w:val="00FC1445"/>
    <w:rsid w:val="00FC1446"/>
    <w:rsid w:val="00FC2CD1"/>
    <w:rsid w:val="00FC479D"/>
    <w:rsid w:val="00FC4C71"/>
    <w:rsid w:val="00FC5662"/>
    <w:rsid w:val="00FC5AB2"/>
    <w:rsid w:val="00FC6839"/>
    <w:rsid w:val="00FC7FFB"/>
    <w:rsid w:val="00FD007C"/>
    <w:rsid w:val="00FD2702"/>
    <w:rsid w:val="00FD6469"/>
    <w:rsid w:val="00FD6B5F"/>
    <w:rsid w:val="00FD6FBF"/>
    <w:rsid w:val="00FE248B"/>
    <w:rsid w:val="00FE375B"/>
    <w:rsid w:val="00FE4BA6"/>
    <w:rsid w:val="00FE54A5"/>
    <w:rsid w:val="00FE6748"/>
    <w:rsid w:val="00FE6BF2"/>
    <w:rsid w:val="00FE6F9D"/>
    <w:rsid w:val="00FF05E2"/>
    <w:rsid w:val="00FF13B3"/>
    <w:rsid w:val="00FF1AE0"/>
    <w:rsid w:val="00FF29C5"/>
    <w:rsid w:val="00FF3797"/>
    <w:rsid w:val="00FF46FE"/>
    <w:rsid w:val="00FF496A"/>
    <w:rsid w:val="00FF4A0B"/>
    <w:rsid w:val="00FF569C"/>
    <w:rsid w:val="00FF6650"/>
    <w:rsid w:val="00FF6FCD"/>
    <w:rsid w:val="2F8EE43B"/>
    <w:rsid w:val="33E7A172"/>
    <w:rsid w:val="34C675A7"/>
    <w:rsid w:val="34E56129"/>
    <w:rsid w:val="373BF32D"/>
    <w:rsid w:val="5D3A396E"/>
    <w:rsid w:val="6A3004EA"/>
    <w:rsid w:val="6CFB9941"/>
    <w:rsid w:val="6D50520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D38FBA"/>
  <w15:chartTrackingRefBased/>
  <w15:docId w15:val="{A15E01DD-5E34-43B5-8D5B-B4E98C579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3478"/>
    <w:pPr>
      <w:widowControl w:val="0"/>
      <w:autoSpaceDE w:val="0"/>
      <w:autoSpaceDN w:val="0"/>
      <w:spacing w:after="0" w:line="240" w:lineRule="auto"/>
    </w:pPr>
    <w:rPr>
      <w:rFonts w:ascii="Arial" w:eastAsia="Arial" w:hAnsi="Arial" w:cs="Arial"/>
      <w:lang w:val="es-ES" w:eastAsia="es-ES" w:bidi="es-ES"/>
    </w:rPr>
  </w:style>
  <w:style w:type="paragraph" w:styleId="Ttulo3">
    <w:name w:val="heading 3"/>
    <w:basedOn w:val="Normal"/>
    <w:next w:val="Normal"/>
    <w:link w:val="Ttulo3Car"/>
    <w:uiPriority w:val="9"/>
    <w:semiHidden/>
    <w:unhideWhenUsed/>
    <w:qFormat/>
    <w:rsid w:val="009D509B"/>
    <w:pPr>
      <w:keepNext/>
      <w:keepLines/>
      <w:widowControl/>
      <w:autoSpaceDE/>
      <w:autoSpaceDN/>
      <w:spacing w:before="40" w:line="276" w:lineRule="auto"/>
      <w:outlineLvl w:val="2"/>
    </w:pPr>
    <w:rPr>
      <w:rFonts w:ascii="Calibri Light" w:eastAsia="Times New Roman" w:hAnsi="Calibri Light" w:cs="Times New Roman"/>
      <w:color w:val="1F4D78"/>
      <w:sz w:val="24"/>
      <w:szCs w:val="24"/>
      <w:lang w:val="es-CO" w:eastAsia="en-US" w:bidi="ar-SA"/>
    </w:rPr>
  </w:style>
  <w:style w:type="paragraph" w:styleId="Ttulo4">
    <w:name w:val="heading 4"/>
    <w:basedOn w:val="Normal"/>
    <w:next w:val="Normal"/>
    <w:link w:val="Ttulo4Car"/>
    <w:uiPriority w:val="9"/>
    <w:unhideWhenUsed/>
    <w:qFormat/>
    <w:rsid w:val="009D509B"/>
    <w:pPr>
      <w:keepNext/>
      <w:keepLines/>
      <w:widowControl/>
      <w:autoSpaceDE/>
      <w:autoSpaceDN/>
      <w:spacing w:before="40" w:line="276" w:lineRule="auto"/>
      <w:outlineLvl w:val="3"/>
    </w:pPr>
    <w:rPr>
      <w:rFonts w:ascii="Calibri Light" w:eastAsia="Times New Roman" w:hAnsi="Calibri Light" w:cs="Times New Roman"/>
      <w:i/>
      <w:iCs/>
      <w:color w:val="2E74B5"/>
      <w:lang w:val="es-CO" w:eastAsia="en-US" w:bidi="ar-SA"/>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semiHidden/>
    <w:rsid w:val="009D509B"/>
    <w:rPr>
      <w:rFonts w:ascii="Calibri Light" w:eastAsia="Times New Roman" w:hAnsi="Calibri Light" w:cs="Times New Roman"/>
      <w:color w:val="1F4D78"/>
      <w:sz w:val="24"/>
      <w:szCs w:val="24"/>
    </w:rPr>
  </w:style>
  <w:style w:type="character" w:customStyle="1" w:styleId="Ttulo4Car">
    <w:name w:val="Título 4 Car"/>
    <w:basedOn w:val="Fuentedeprrafopredeter"/>
    <w:link w:val="Ttulo4"/>
    <w:uiPriority w:val="9"/>
    <w:rsid w:val="009D509B"/>
    <w:rPr>
      <w:rFonts w:ascii="Calibri Light" w:eastAsia="Times New Roman" w:hAnsi="Calibri Light" w:cs="Times New Roman"/>
      <w:i/>
      <w:iCs/>
      <w:color w:val="2E74B5"/>
    </w:rPr>
  </w:style>
  <w:style w:type="paragraph" w:styleId="Textoindependiente">
    <w:name w:val="Body Text"/>
    <w:basedOn w:val="Normal"/>
    <w:link w:val="TextoindependienteCar"/>
    <w:uiPriority w:val="1"/>
    <w:qFormat/>
    <w:rsid w:val="000E3478"/>
    <w:pPr>
      <w:spacing w:before="9"/>
    </w:pPr>
    <w:rPr>
      <w:rFonts w:ascii="Times New Roman" w:eastAsia="Times New Roman" w:hAnsi="Times New Roman" w:cs="Times New Roman"/>
      <w:b/>
      <w:bCs/>
      <w:sz w:val="12"/>
      <w:szCs w:val="12"/>
    </w:rPr>
  </w:style>
  <w:style w:type="character" w:customStyle="1" w:styleId="TextoindependienteCar">
    <w:name w:val="Texto independiente Car"/>
    <w:basedOn w:val="Fuentedeprrafopredeter"/>
    <w:link w:val="Textoindependiente"/>
    <w:uiPriority w:val="1"/>
    <w:rsid w:val="000E3478"/>
    <w:rPr>
      <w:rFonts w:ascii="Times New Roman" w:eastAsia="Times New Roman" w:hAnsi="Times New Roman" w:cs="Times New Roman"/>
      <w:b/>
      <w:bCs/>
      <w:sz w:val="12"/>
      <w:szCs w:val="12"/>
      <w:lang w:val="es-ES" w:eastAsia="es-ES" w:bidi="es-ES"/>
    </w:rPr>
  </w:style>
  <w:style w:type="paragraph" w:styleId="Prrafodelista">
    <w:name w:val="List Paragraph"/>
    <w:aliases w:val="Bullets,Bullet List,FooterText,numbered,List Paragraph1,Paragraphe de liste1,lp1,List Paragraph,Scitum normal,HOJA,Bolita,BOLADEF,Párrafo de lista21,BOLA,Nivel 1 OS,Colorful List Accent 1,Colorful List - Accent 11,titulo 3,Ha,EITI list"/>
    <w:basedOn w:val="Normal"/>
    <w:link w:val="PrrafodelistaCar"/>
    <w:uiPriority w:val="1"/>
    <w:qFormat/>
    <w:rsid w:val="000E3478"/>
  </w:style>
  <w:style w:type="character" w:customStyle="1" w:styleId="PrrafodelistaCar">
    <w:name w:val="Párrafo de lista Car"/>
    <w:aliases w:val="Bullets Car,Bullet List Car,FooterText Car,numbered Car,List Paragraph1 Car,Paragraphe de liste1 Car,lp1 Car,List Paragraph Car,Scitum normal Car,HOJA Car,Bolita Car,BOLADEF Car,Párrafo de lista21 Car,BOLA Car,Nivel 1 OS Car,Ha Car"/>
    <w:basedOn w:val="Fuentedeprrafopredeter"/>
    <w:link w:val="Prrafodelista"/>
    <w:uiPriority w:val="34"/>
    <w:qFormat/>
    <w:locked/>
    <w:rsid w:val="00657E30"/>
    <w:rPr>
      <w:rFonts w:ascii="Arial" w:eastAsia="Arial" w:hAnsi="Arial" w:cs="Arial"/>
      <w:lang w:val="es-ES" w:eastAsia="es-ES" w:bidi="es-ES"/>
    </w:rPr>
  </w:style>
  <w:style w:type="paragraph" w:customStyle="1" w:styleId="TableParagraph">
    <w:name w:val="Table Paragraph"/>
    <w:basedOn w:val="Normal"/>
    <w:uiPriority w:val="1"/>
    <w:qFormat/>
    <w:rsid w:val="000E3478"/>
  </w:style>
  <w:style w:type="paragraph" w:styleId="NormalWeb">
    <w:name w:val="Normal (Web)"/>
    <w:basedOn w:val="Normal"/>
    <w:uiPriority w:val="99"/>
    <w:unhideWhenUsed/>
    <w:rsid w:val="00D654D6"/>
    <w:pPr>
      <w:widowControl/>
      <w:autoSpaceDE/>
      <w:autoSpaceDN/>
      <w:spacing w:before="100" w:beforeAutospacing="1" w:after="100" w:afterAutospacing="1"/>
    </w:pPr>
    <w:rPr>
      <w:rFonts w:ascii="Times New Roman" w:eastAsia="Times New Roman" w:hAnsi="Times New Roman" w:cs="Times New Roman"/>
      <w:sz w:val="24"/>
      <w:szCs w:val="24"/>
      <w:lang w:val="es-CO" w:eastAsia="es-CO" w:bidi="ar-SA"/>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e,Texto nota pie Ca"/>
    <w:basedOn w:val="Normal"/>
    <w:link w:val="TextonotapieCar"/>
    <w:unhideWhenUsed/>
    <w:qFormat/>
    <w:rsid w:val="00FA15ED"/>
    <w:pPr>
      <w:widowControl/>
      <w:suppressAutoHyphens/>
      <w:autoSpaceDE/>
      <w:textAlignment w:val="baseline"/>
    </w:pPr>
    <w:rPr>
      <w:rFonts w:ascii="Times New Roman" w:eastAsia="Calibri" w:hAnsi="Times New Roman" w:cs="Times New Roman"/>
      <w:sz w:val="20"/>
      <w:szCs w:val="20"/>
      <w:lang w:val="es-CO" w:bidi="ar-SA"/>
    </w:rPr>
  </w:style>
  <w:style w:type="character" w:customStyle="1" w:styleId="TextonotapieCar">
    <w:name w:val="Texto nota pie Car"/>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qFormat/>
    <w:rsid w:val="00FA15ED"/>
    <w:rPr>
      <w:rFonts w:ascii="Times New Roman" w:eastAsia="Calibri" w:hAnsi="Times New Roman" w:cs="Times New Roman"/>
      <w:sz w:val="20"/>
      <w:szCs w:val="20"/>
      <w:lang w:eastAsia="es-ES"/>
    </w:rPr>
  </w:style>
  <w:style w:type="character" w:styleId="Refdenotaalpie">
    <w:name w:val="footnote reference"/>
    <w:aliases w:val="Texto de nota al pie,Texto nota al pie,referencia nota al pie,Ref. de nota al pie 2,Nota de pie,Appel note de bas de page,Pie de Página,FC,Texto de nota al p,Pie de Pàgina,F,Pie de P_gin,Pie de P_,Texto de nota al pi,Pie de P_g,f,4_G"/>
    <w:basedOn w:val="Fuentedeprrafopredeter"/>
    <w:link w:val="4GChar"/>
    <w:unhideWhenUsed/>
    <w:qFormat/>
    <w:rsid w:val="00FA15ED"/>
    <w:rPr>
      <w:vertAlign w:val="superscript"/>
    </w:rPr>
  </w:style>
  <w:style w:type="character" w:styleId="Hipervnculo">
    <w:name w:val="Hyperlink"/>
    <w:basedOn w:val="Fuentedeprrafopredeter"/>
    <w:uiPriority w:val="99"/>
    <w:unhideWhenUsed/>
    <w:rsid w:val="00FA15ED"/>
    <w:rPr>
      <w:color w:val="0563C1" w:themeColor="hyperlink"/>
      <w:u w:val="single"/>
    </w:rPr>
  </w:style>
  <w:style w:type="paragraph" w:styleId="Encabezado">
    <w:name w:val="header"/>
    <w:basedOn w:val="Normal"/>
    <w:link w:val="EncabezadoCar"/>
    <w:uiPriority w:val="99"/>
    <w:unhideWhenUsed/>
    <w:rsid w:val="00387233"/>
    <w:pPr>
      <w:tabs>
        <w:tab w:val="center" w:pos="4419"/>
        <w:tab w:val="right" w:pos="8838"/>
      </w:tabs>
    </w:pPr>
  </w:style>
  <w:style w:type="character" w:customStyle="1" w:styleId="EncabezadoCar">
    <w:name w:val="Encabezado Car"/>
    <w:basedOn w:val="Fuentedeprrafopredeter"/>
    <w:link w:val="Encabezado"/>
    <w:uiPriority w:val="99"/>
    <w:rsid w:val="00387233"/>
    <w:rPr>
      <w:rFonts w:ascii="Arial" w:eastAsia="Arial" w:hAnsi="Arial" w:cs="Arial"/>
      <w:lang w:val="es-ES" w:eastAsia="es-ES" w:bidi="es-ES"/>
    </w:rPr>
  </w:style>
  <w:style w:type="paragraph" w:styleId="Piedepgina">
    <w:name w:val="footer"/>
    <w:basedOn w:val="Normal"/>
    <w:link w:val="PiedepginaCar"/>
    <w:unhideWhenUsed/>
    <w:rsid w:val="00387233"/>
    <w:pPr>
      <w:tabs>
        <w:tab w:val="center" w:pos="4419"/>
        <w:tab w:val="right" w:pos="8838"/>
      </w:tabs>
    </w:pPr>
  </w:style>
  <w:style w:type="character" w:customStyle="1" w:styleId="PiedepginaCar">
    <w:name w:val="Pie de página Car"/>
    <w:basedOn w:val="Fuentedeprrafopredeter"/>
    <w:link w:val="Piedepgina"/>
    <w:uiPriority w:val="99"/>
    <w:rsid w:val="00387233"/>
    <w:rPr>
      <w:rFonts w:ascii="Arial" w:eastAsia="Arial" w:hAnsi="Arial" w:cs="Arial"/>
      <w:lang w:val="es-ES" w:eastAsia="es-ES" w:bidi="es-ES"/>
    </w:rPr>
  </w:style>
  <w:style w:type="paragraph" w:styleId="Sinespaciado">
    <w:name w:val="No Spacing"/>
    <w:aliases w:val="Oficios"/>
    <w:link w:val="SinespaciadoCar"/>
    <w:uiPriority w:val="1"/>
    <w:qFormat/>
    <w:rsid w:val="00025259"/>
    <w:pPr>
      <w:widowControl w:val="0"/>
      <w:autoSpaceDE w:val="0"/>
      <w:autoSpaceDN w:val="0"/>
      <w:spacing w:after="0" w:line="240" w:lineRule="auto"/>
    </w:pPr>
    <w:rPr>
      <w:rFonts w:ascii="Arial" w:eastAsia="Arial" w:hAnsi="Arial" w:cs="Arial"/>
      <w:lang w:val="es-ES" w:eastAsia="es-ES" w:bidi="es-ES"/>
    </w:rPr>
  </w:style>
  <w:style w:type="character" w:customStyle="1" w:styleId="SinespaciadoCar">
    <w:name w:val="Sin espaciado Car"/>
    <w:aliases w:val="Oficios Car"/>
    <w:link w:val="Sinespaciado"/>
    <w:uiPriority w:val="1"/>
    <w:rsid w:val="009D509B"/>
    <w:rPr>
      <w:rFonts w:ascii="Arial" w:eastAsia="Arial" w:hAnsi="Arial" w:cs="Arial"/>
      <w:lang w:val="es-ES" w:eastAsia="es-ES" w:bidi="es-ES"/>
    </w:rPr>
  </w:style>
  <w:style w:type="character" w:styleId="Refdecomentario">
    <w:name w:val="annotation reference"/>
    <w:basedOn w:val="Fuentedeprrafopredeter"/>
    <w:uiPriority w:val="99"/>
    <w:semiHidden/>
    <w:unhideWhenUsed/>
    <w:rsid w:val="00B113ED"/>
    <w:rPr>
      <w:sz w:val="16"/>
      <w:szCs w:val="16"/>
    </w:rPr>
  </w:style>
  <w:style w:type="paragraph" w:styleId="Textocomentario">
    <w:name w:val="annotation text"/>
    <w:basedOn w:val="Normal"/>
    <w:link w:val="TextocomentarioCar"/>
    <w:uiPriority w:val="99"/>
    <w:unhideWhenUsed/>
    <w:rsid w:val="00B113ED"/>
    <w:rPr>
      <w:sz w:val="20"/>
      <w:szCs w:val="20"/>
    </w:rPr>
  </w:style>
  <w:style w:type="character" w:customStyle="1" w:styleId="TextocomentarioCar">
    <w:name w:val="Texto comentario Car"/>
    <w:basedOn w:val="Fuentedeprrafopredeter"/>
    <w:link w:val="Textocomentario"/>
    <w:uiPriority w:val="99"/>
    <w:rsid w:val="00B113ED"/>
    <w:rPr>
      <w:rFonts w:ascii="Arial" w:eastAsia="Arial" w:hAnsi="Arial" w:cs="Arial"/>
      <w:sz w:val="20"/>
      <w:szCs w:val="20"/>
      <w:lang w:val="es-ES" w:eastAsia="es-ES" w:bidi="es-ES"/>
    </w:rPr>
  </w:style>
  <w:style w:type="paragraph" w:styleId="Asuntodelcomentario">
    <w:name w:val="annotation subject"/>
    <w:basedOn w:val="Textocomentario"/>
    <w:next w:val="Textocomentario"/>
    <w:link w:val="AsuntodelcomentarioCar"/>
    <w:uiPriority w:val="99"/>
    <w:semiHidden/>
    <w:unhideWhenUsed/>
    <w:rsid w:val="00B113ED"/>
    <w:rPr>
      <w:b/>
      <w:bCs/>
    </w:rPr>
  </w:style>
  <w:style w:type="character" w:customStyle="1" w:styleId="AsuntodelcomentarioCar">
    <w:name w:val="Asunto del comentario Car"/>
    <w:basedOn w:val="TextocomentarioCar"/>
    <w:link w:val="Asuntodelcomentario"/>
    <w:uiPriority w:val="99"/>
    <w:semiHidden/>
    <w:rsid w:val="00B113ED"/>
    <w:rPr>
      <w:rFonts w:ascii="Arial" w:eastAsia="Arial" w:hAnsi="Arial" w:cs="Arial"/>
      <w:b/>
      <w:bCs/>
      <w:sz w:val="20"/>
      <w:szCs w:val="20"/>
      <w:lang w:val="es-ES" w:eastAsia="es-ES" w:bidi="es-ES"/>
    </w:rPr>
  </w:style>
  <w:style w:type="paragraph" w:styleId="Textodeglobo">
    <w:name w:val="Balloon Text"/>
    <w:basedOn w:val="Normal"/>
    <w:link w:val="TextodegloboCar"/>
    <w:uiPriority w:val="99"/>
    <w:semiHidden/>
    <w:unhideWhenUsed/>
    <w:rsid w:val="00B113E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113ED"/>
    <w:rPr>
      <w:rFonts w:ascii="Segoe UI" w:eastAsia="Arial" w:hAnsi="Segoe UI" w:cs="Segoe UI"/>
      <w:sz w:val="18"/>
      <w:szCs w:val="18"/>
      <w:lang w:val="es-ES" w:eastAsia="es-ES" w:bidi="es-ES"/>
    </w:rPr>
  </w:style>
  <w:style w:type="paragraph" w:customStyle="1" w:styleId="ListaCC">
    <w:name w:val="Lista CC."/>
    <w:basedOn w:val="Normal"/>
    <w:rsid w:val="00C45ABB"/>
    <w:pPr>
      <w:widowControl/>
      <w:autoSpaceDE/>
      <w:autoSpaceDN/>
    </w:pPr>
    <w:rPr>
      <w:rFonts w:ascii="Times New Roman" w:eastAsia="Times New Roman" w:hAnsi="Times New Roman" w:cs="Times New Roman"/>
      <w:sz w:val="24"/>
      <w:szCs w:val="24"/>
      <w:lang w:bidi="ar-SA"/>
    </w:rPr>
  </w:style>
  <w:style w:type="paragraph" w:customStyle="1" w:styleId="Default">
    <w:name w:val="Default"/>
    <w:rsid w:val="009D509B"/>
    <w:pPr>
      <w:autoSpaceDE w:val="0"/>
      <w:autoSpaceDN w:val="0"/>
      <w:adjustRightInd w:val="0"/>
      <w:spacing w:after="0" w:line="240" w:lineRule="auto"/>
    </w:pPr>
    <w:rPr>
      <w:rFonts w:ascii="Arial" w:eastAsia="Calibri" w:hAnsi="Arial" w:cs="Arial"/>
      <w:color w:val="000000"/>
      <w:sz w:val="24"/>
      <w:szCs w:val="24"/>
      <w:lang w:eastAsia="es-CO"/>
    </w:rPr>
  </w:style>
  <w:style w:type="table" w:styleId="Tablaconcuadrcula">
    <w:name w:val="Table Grid"/>
    <w:basedOn w:val="Tablanormal"/>
    <w:uiPriority w:val="59"/>
    <w:rsid w:val="007734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773415"/>
    <w:rPr>
      <w:color w:val="954F72" w:themeColor="followedHyperlink"/>
      <w:u w:val="single"/>
    </w:rPr>
  </w:style>
  <w:style w:type="paragraph" w:styleId="Descripcin">
    <w:name w:val="caption"/>
    <w:basedOn w:val="Normal"/>
    <w:next w:val="Normal"/>
    <w:uiPriority w:val="35"/>
    <w:unhideWhenUsed/>
    <w:qFormat/>
    <w:rsid w:val="00FB13FF"/>
    <w:pPr>
      <w:spacing w:after="200"/>
    </w:pPr>
    <w:rPr>
      <w:i/>
      <w:iCs/>
      <w:color w:val="44546A" w:themeColor="text2"/>
      <w:sz w:val="18"/>
      <w:szCs w:val="18"/>
    </w:rPr>
  </w:style>
  <w:style w:type="character" w:styleId="Textoennegrita">
    <w:name w:val="Strong"/>
    <w:basedOn w:val="Fuentedeprrafopredeter"/>
    <w:uiPriority w:val="22"/>
    <w:qFormat/>
    <w:rsid w:val="00381371"/>
    <w:rPr>
      <w:b/>
      <w:bCs/>
    </w:rPr>
  </w:style>
  <w:style w:type="paragraph" w:styleId="Revisin">
    <w:name w:val="Revision"/>
    <w:hidden/>
    <w:uiPriority w:val="99"/>
    <w:semiHidden/>
    <w:rsid w:val="00F72BC7"/>
    <w:pPr>
      <w:spacing w:after="0" w:line="240" w:lineRule="auto"/>
    </w:pPr>
    <w:rPr>
      <w:rFonts w:ascii="Arial" w:eastAsia="Arial" w:hAnsi="Arial" w:cs="Arial"/>
      <w:lang w:val="es-ES" w:eastAsia="es-ES" w:bidi="es-ES"/>
    </w:rPr>
  </w:style>
  <w:style w:type="paragraph" w:customStyle="1" w:styleId="xmsonormal">
    <w:name w:val="x_msonormal"/>
    <w:basedOn w:val="Normal"/>
    <w:uiPriority w:val="99"/>
    <w:semiHidden/>
    <w:rsid w:val="00DE661E"/>
    <w:pPr>
      <w:widowControl/>
      <w:autoSpaceDE/>
      <w:autoSpaceDN/>
    </w:pPr>
    <w:rPr>
      <w:rFonts w:ascii="Calibri" w:eastAsiaTheme="minorHAnsi" w:hAnsi="Calibri" w:cs="Calibri"/>
      <w:lang w:val="es-CO" w:eastAsia="es-CO" w:bidi="ar-SA"/>
    </w:rPr>
  </w:style>
  <w:style w:type="paragraph" w:customStyle="1" w:styleId="xmsolistparagraph">
    <w:name w:val="x_msolistparagraph"/>
    <w:basedOn w:val="Normal"/>
    <w:uiPriority w:val="99"/>
    <w:semiHidden/>
    <w:rsid w:val="00BE0F3A"/>
    <w:pPr>
      <w:widowControl/>
      <w:autoSpaceDE/>
      <w:ind w:left="720"/>
    </w:pPr>
    <w:rPr>
      <w:rFonts w:ascii="Times New Roman" w:eastAsiaTheme="minorHAnsi" w:hAnsi="Times New Roman" w:cs="Times New Roman"/>
      <w:sz w:val="24"/>
      <w:szCs w:val="24"/>
      <w:lang w:val="es-CO" w:eastAsia="es-CO" w:bidi="ar-SA"/>
    </w:rPr>
  </w:style>
  <w:style w:type="paragraph" w:customStyle="1" w:styleId="xstandard">
    <w:name w:val="x_standard"/>
    <w:basedOn w:val="Normal"/>
    <w:uiPriority w:val="99"/>
    <w:semiHidden/>
    <w:rsid w:val="00BE0F3A"/>
    <w:pPr>
      <w:widowControl/>
      <w:autoSpaceDE/>
    </w:pPr>
    <w:rPr>
      <w:rFonts w:ascii="Calibri" w:eastAsiaTheme="minorHAnsi" w:hAnsi="Calibri" w:cs="Calibri"/>
      <w:sz w:val="24"/>
      <w:szCs w:val="24"/>
      <w:lang w:val="es-CO" w:eastAsia="es-CO" w:bidi="ar-SA"/>
    </w:rPr>
  </w:style>
  <w:style w:type="character" w:customStyle="1" w:styleId="normaltextrun">
    <w:name w:val="normaltextrun"/>
    <w:basedOn w:val="Fuentedeprrafopredeter"/>
    <w:rsid w:val="00B75B22"/>
  </w:style>
  <w:style w:type="character" w:customStyle="1" w:styleId="findhit">
    <w:name w:val="findhit"/>
    <w:basedOn w:val="Fuentedeprrafopredeter"/>
    <w:rsid w:val="00B75B22"/>
  </w:style>
  <w:style w:type="character" w:customStyle="1" w:styleId="eop">
    <w:name w:val="eop"/>
    <w:basedOn w:val="Fuentedeprrafopredeter"/>
    <w:rsid w:val="00B75B22"/>
  </w:style>
  <w:style w:type="numbering" w:customStyle="1" w:styleId="Listaactual1">
    <w:name w:val="Lista actual1"/>
    <w:uiPriority w:val="99"/>
    <w:rsid w:val="00E63FD7"/>
    <w:pPr>
      <w:numPr>
        <w:numId w:val="8"/>
      </w:numPr>
    </w:pPr>
  </w:style>
  <w:style w:type="numbering" w:customStyle="1" w:styleId="Listaactual2">
    <w:name w:val="Lista actual2"/>
    <w:uiPriority w:val="99"/>
    <w:rsid w:val="00FD2702"/>
    <w:pPr>
      <w:numPr>
        <w:numId w:val="10"/>
      </w:numPr>
    </w:pPr>
  </w:style>
  <w:style w:type="paragraph" w:customStyle="1" w:styleId="paragraph">
    <w:name w:val="paragraph"/>
    <w:basedOn w:val="Normal"/>
    <w:rsid w:val="00F460AB"/>
    <w:pPr>
      <w:widowControl/>
      <w:autoSpaceDE/>
      <w:autoSpaceDN/>
      <w:spacing w:before="100" w:beforeAutospacing="1" w:after="100" w:afterAutospacing="1"/>
    </w:pPr>
    <w:rPr>
      <w:rFonts w:ascii="Times New Roman" w:eastAsia="Times New Roman" w:hAnsi="Times New Roman" w:cs="Times New Roman"/>
      <w:sz w:val="24"/>
      <w:szCs w:val="24"/>
      <w:lang w:val="es-CO" w:eastAsia="es-CO" w:bidi="ar-SA"/>
    </w:rPr>
  </w:style>
  <w:style w:type="character" w:customStyle="1" w:styleId="superscript">
    <w:name w:val="superscript"/>
    <w:basedOn w:val="Fuentedeprrafopredeter"/>
    <w:rsid w:val="00F460AB"/>
  </w:style>
  <w:style w:type="table" w:customStyle="1" w:styleId="TableNormal1">
    <w:name w:val="Table Normal1"/>
    <w:uiPriority w:val="2"/>
    <w:semiHidden/>
    <w:unhideWhenUsed/>
    <w:qFormat/>
    <w:rsid w:val="00E30E2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4GChar">
    <w:name w:val="4_G Char"/>
    <w:aliases w:val="Appel note de bas de page Char,Appel note de bas de page Char Char Char Char Char Char Char Char Char Char Char Char Char Char Char Char Char Char Char,Appel note de bas de page Char Char Char Char"/>
    <w:basedOn w:val="Normal"/>
    <w:link w:val="Refdenotaalpie"/>
    <w:qFormat/>
    <w:rsid w:val="003D6EEF"/>
    <w:pPr>
      <w:widowControl/>
      <w:autoSpaceDE/>
      <w:autoSpaceDN/>
      <w:jc w:val="both"/>
    </w:pPr>
    <w:rPr>
      <w:rFonts w:asciiTheme="minorHAnsi" w:eastAsiaTheme="minorHAnsi" w:hAnsiTheme="minorHAnsi" w:cstheme="minorBidi"/>
      <w:vertAlign w:val="superscript"/>
      <w:lang w:val="es-CO"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8448">
      <w:bodyDiv w:val="1"/>
      <w:marLeft w:val="0"/>
      <w:marRight w:val="0"/>
      <w:marTop w:val="0"/>
      <w:marBottom w:val="0"/>
      <w:divBdr>
        <w:top w:val="none" w:sz="0" w:space="0" w:color="auto"/>
        <w:left w:val="none" w:sz="0" w:space="0" w:color="auto"/>
        <w:bottom w:val="none" w:sz="0" w:space="0" w:color="auto"/>
        <w:right w:val="none" w:sz="0" w:space="0" w:color="auto"/>
      </w:divBdr>
    </w:div>
    <w:div w:id="42170301">
      <w:bodyDiv w:val="1"/>
      <w:marLeft w:val="0"/>
      <w:marRight w:val="0"/>
      <w:marTop w:val="0"/>
      <w:marBottom w:val="0"/>
      <w:divBdr>
        <w:top w:val="none" w:sz="0" w:space="0" w:color="auto"/>
        <w:left w:val="none" w:sz="0" w:space="0" w:color="auto"/>
        <w:bottom w:val="none" w:sz="0" w:space="0" w:color="auto"/>
        <w:right w:val="none" w:sz="0" w:space="0" w:color="auto"/>
      </w:divBdr>
    </w:div>
    <w:div w:id="43529353">
      <w:bodyDiv w:val="1"/>
      <w:marLeft w:val="0"/>
      <w:marRight w:val="0"/>
      <w:marTop w:val="0"/>
      <w:marBottom w:val="0"/>
      <w:divBdr>
        <w:top w:val="none" w:sz="0" w:space="0" w:color="auto"/>
        <w:left w:val="none" w:sz="0" w:space="0" w:color="auto"/>
        <w:bottom w:val="none" w:sz="0" w:space="0" w:color="auto"/>
        <w:right w:val="none" w:sz="0" w:space="0" w:color="auto"/>
      </w:divBdr>
    </w:div>
    <w:div w:id="64650976">
      <w:bodyDiv w:val="1"/>
      <w:marLeft w:val="0"/>
      <w:marRight w:val="0"/>
      <w:marTop w:val="0"/>
      <w:marBottom w:val="0"/>
      <w:divBdr>
        <w:top w:val="none" w:sz="0" w:space="0" w:color="auto"/>
        <w:left w:val="none" w:sz="0" w:space="0" w:color="auto"/>
        <w:bottom w:val="none" w:sz="0" w:space="0" w:color="auto"/>
        <w:right w:val="none" w:sz="0" w:space="0" w:color="auto"/>
      </w:divBdr>
      <w:divsChild>
        <w:div w:id="2128158005">
          <w:marLeft w:val="0"/>
          <w:marRight w:val="0"/>
          <w:marTop w:val="0"/>
          <w:marBottom w:val="0"/>
          <w:divBdr>
            <w:top w:val="none" w:sz="0" w:space="0" w:color="auto"/>
            <w:left w:val="none" w:sz="0" w:space="0" w:color="auto"/>
            <w:bottom w:val="none" w:sz="0" w:space="0" w:color="auto"/>
            <w:right w:val="none" w:sz="0" w:space="0" w:color="auto"/>
          </w:divBdr>
        </w:div>
      </w:divsChild>
    </w:div>
    <w:div w:id="82919532">
      <w:bodyDiv w:val="1"/>
      <w:marLeft w:val="0"/>
      <w:marRight w:val="0"/>
      <w:marTop w:val="0"/>
      <w:marBottom w:val="0"/>
      <w:divBdr>
        <w:top w:val="none" w:sz="0" w:space="0" w:color="auto"/>
        <w:left w:val="none" w:sz="0" w:space="0" w:color="auto"/>
        <w:bottom w:val="none" w:sz="0" w:space="0" w:color="auto"/>
        <w:right w:val="none" w:sz="0" w:space="0" w:color="auto"/>
      </w:divBdr>
    </w:div>
    <w:div w:id="140465290">
      <w:bodyDiv w:val="1"/>
      <w:marLeft w:val="0"/>
      <w:marRight w:val="0"/>
      <w:marTop w:val="0"/>
      <w:marBottom w:val="0"/>
      <w:divBdr>
        <w:top w:val="none" w:sz="0" w:space="0" w:color="auto"/>
        <w:left w:val="none" w:sz="0" w:space="0" w:color="auto"/>
        <w:bottom w:val="none" w:sz="0" w:space="0" w:color="auto"/>
        <w:right w:val="none" w:sz="0" w:space="0" w:color="auto"/>
      </w:divBdr>
    </w:div>
    <w:div w:id="176620321">
      <w:bodyDiv w:val="1"/>
      <w:marLeft w:val="0"/>
      <w:marRight w:val="0"/>
      <w:marTop w:val="0"/>
      <w:marBottom w:val="0"/>
      <w:divBdr>
        <w:top w:val="none" w:sz="0" w:space="0" w:color="auto"/>
        <w:left w:val="none" w:sz="0" w:space="0" w:color="auto"/>
        <w:bottom w:val="none" w:sz="0" w:space="0" w:color="auto"/>
        <w:right w:val="none" w:sz="0" w:space="0" w:color="auto"/>
      </w:divBdr>
    </w:div>
    <w:div w:id="199974060">
      <w:bodyDiv w:val="1"/>
      <w:marLeft w:val="0"/>
      <w:marRight w:val="0"/>
      <w:marTop w:val="0"/>
      <w:marBottom w:val="0"/>
      <w:divBdr>
        <w:top w:val="none" w:sz="0" w:space="0" w:color="auto"/>
        <w:left w:val="none" w:sz="0" w:space="0" w:color="auto"/>
        <w:bottom w:val="none" w:sz="0" w:space="0" w:color="auto"/>
        <w:right w:val="none" w:sz="0" w:space="0" w:color="auto"/>
      </w:divBdr>
    </w:div>
    <w:div w:id="200679030">
      <w:bodyDiv w:val="1"/>
      <w:marLeft w:val="0"/>
      <w:marRight w:val="0"/>
      <w:marTop w:val="0"/>
      <w:marBottom w:val="0"/>
      <w:divBdr>
        <w:top w:val="none" w:sz="0" w:space="0" w:color="auto"/>
        <w:left w:val="none" w:sz="0" w:space="0" w:color="auto"/>
        <w:bottom w:val="none" w:sz="0" w:space="0" w:color="auto"/>
        <w:right w:val="none" w:sz="0" w:space="0" w:color="auto"/>
      </w:divBdr>
    </w:div>
    <w:div w:id="209197129">
      <w:bodyDiv w:val="1"/>
      <w:marLeft w:val="0"/>
      <w:marRight w:val="0"/>
      <w:marTop w:val="0"/>
      <w:marBottom w:val="0"/>
      <w:divBdr>
        <w:top w:val="none" w:sz="0" w:space="0" w:color="auto"/>
        <w:left w:val="none" w:sz="0" w:space="0" w:color="auto"/>
        <w:bottom w:val="none" w:sz="0" w:space="0" w:color="auto"/>
        <w:right w:val="none" w:sz="0" w:space="0" w:color="auto"/>
      </w:divBdr>
    </w:div>
    <w:div w:id="223226406">
      <w:bodyDiv w:val="1"/>
      <w:marLeft w:val="0"/>
      <w:marRight w:val="0"/>
      <w:marTop w:val="0"/>
      <w:marBottom w:val="0"/>
      <w:divBdr>
        <w:top w:val="none" w:sz="0" w:space="0" w:color="auto"/>
        <w:left w:val="none" w:sz="0" w:space="0" w:color="auto"/>
        <w:bottom w:val="none" w:sz="0" w:space="0" w:color="auto"/>
        <w:right w:val="none" w:sz="0" w:space="0" w:color="auto"/>
      </w:divBdr>
    </w:div>
    <w:div w:id="229657861">
      <w:bodyDiv w:val="1"/>
      <w:marLeft w:val="0"/>
      <w:marRight w:val="0"/>
      <w:marTop w:val="0"/>
      <w:marBottom w:val="0"/>
      <w:divBdr>
        <w:top w:val="none" w:sz="0" w:space="0" w:color="auto"/>
        <w:left w:val="none" w:sz="0" w:space="0" w:color="auto"/>
        <w:bottom w:val="none" w:sz="0" w:space="0" w:color="auto"/>
        <w:right w:val="none" w:sz="0" w:space="0" w:color="auto"/>
      </w:divBdr>
    </w:div>
    <w:div w:id="232666742">
      <w:bodyDiv w:val="1"/>
      <w:marLeft w:val="0"/>
      <w:marRight w:val="0"/>
      <w:marTop w:val="0"/>
      <w:marBottom w:val="0"/>
      <w:divBdr>
        <w:top w:val="none" w:sz="0" w:space="0" w:color="auto"/>
        <w:left w:val="none" w:sz="0" w:space="0" w:color="auto"/>
        <w:bottom w:val="none" w:sz="0" w:space="0" w:color="auto"/>
        <w:right w:val="none" w:sz="0" w:space="0" w:color="auto"/>
      </w:divBdr>
    </w:div>
    <w:div w:id="242682943">
      <w:bodyDiv w:val="1"/>
      <w:marLeft w:val="0"/>
      <w:marRight w:val="0"/>
      <w:marTop w:val="0"/>
      <w:marBottom w:val="0"/>
      <w:divBdr>
        <w:top w:val="none" w:sz="0" w:space="0" w:color="auto"/>
        <w:left w:val="none" w:sz="0" w:space="0" w:color="auto"/>
        <w:bottom w:val="none" w:sz="0" w:space="0" w:color="auto"/>
        <w:right w:val="none" w:sz="0" w:space="0" w:color="auto"/>
      </w:divBdr>
    </w:div>
    <w:div w:id="266547503">
      <w:bodyDiv w:val="1"/>
      <w:marLeft w:val="0"/>
      <w:marRight w:val="0"/>
      <w:marTop w:val="0"/>
      <w:marBottom w:val="0"/>
      <w:divBdr>
        <w:top w:val="none" w:sz="0" w:space="0" w:color="auto"/>
        <w:left w:val="none" w:sz="0" w:space="0" w:color="auto"/>
        <w:bottom w:val="none" w:sz="0" w:space="0" w:color="auto"/>
        <w:right w:val="none" w:sz="0" w:space="0" w:color="auto"/>
      </w:divBdr>
    </w:div>
    <w:div w:id="425276293">
      <w:bodyDiv w:val="1"/>
      <w:marLeft w:val="0"/>
      <w:marRight w:val="0"/>
      <w:marTop w:val="0"/>
      <w:marBottom w:val="0"/>
      <w:divBdr>
        <w:top w:val="none" w:sz="0" w:space="0" w:color="auto"/>
        <w:left w:val="none" w:sz="0" w:space="0" w:color="auto"/>
        <w:bottom w:val="none" w:sz="0" w:space="0" w:color="auto"/>
        <w:right w:val="none" w:sz="0" w:space="0" w:color="auto"/>
      </w:divBdr>
    </w:div>
    <w:div w:id="478965865">
      <w:bodyDiv w:val="1"/>
      <w:marLeft w:val="0"/>
      <w:marRight w:val="0"/>
      <w:marTop w:val="0"/>
      <w:marBottom w:val="0"/>
      <w:divBdr>
        <w:top w:val="none" w:sz="0" w:space="0" w:color="auto"/>
        <w:left w:val="none" w:sz="0" w:space="0" w:color="auto"/>
        <w:bottom w:val="none" w:sz="0" w:space="0" w:color="auto"/>
        <w:right w:val="none" w:sz="0" w:space="0" w:color="auto"/>
      </w:divBdr>
    </w:div>
    <w:div w:id="484467670">
      <w:bodyDiv w:val="1"/>
      <w:marLeft w:val="0"/>
      <w:marRight w:val="0"/>
      <w:marTop w:val="0"/>
      <w:marBottom w:val="0"/>
      <w:divBdr>
        <w:top w:val="none" w:sz="0" w:space="0" w:color="auto"/>
        <w:left w:val="none" w:sz="0" w:space="0" w:color="auto"/>
        <w:bottom w:val="none" w:sz="0" w:space="0" w:color="auto"/>
        <w:right w:val="none" w:sz="0" w:space="0" w:color="auto"/>
      </w:divBdr>
    </w:div>
    <w:div w:id="545990445">
      <w:bodyDiv w:val="1"/>
      <w:marLeft w:val="0"/>
      <w:marRight w:val="0"/>
      <w:marTop w:val="0"/>
      <w:marBottom w:val="0"/>
      <w:divBdr>
        <w:top w:val="none" w:sz="0" w:space="0" w:color="auto"/>
        <w:left w:val="none" w:sz="0" w:space="0" w:color="auto"/>
        <w:bottom w:val="none" w:sz="0" w:space="0" w:color="auto"/>
        <w:right w:val="none" w:sz="0" w:space="0" w:color="auto"/>
      </w:divBdr>
    </w:div>
    <w:div w:id="572006546">
      <w:bodyDiv w:val="1"/>
      <w:marLeft w:val="0"/>
      <w:marRight w:val="0"/>
      <w:marTop w:val="0"/>
      <w:marBottom w:val="0"/>
      <w:divBdr>
        <w:top w:val="none" w:sz="0" w:space="0" w:color="auto"/>
        <w:left w:val="none" w:sz="0" w:space="0" w:color="auto"/>
        <w:bottom w:val="none" w:sz="0" w:space="0" w:color="auto"/>
        <w:right w:val="none" w:sz="0" w:space="0" w:color="auto"/>
      </w:divBdr>
    </w:div>
    <w:div w:id="577010851">
      <w:bodyDiv w:val="1"/>
      <w:marLeft w:val="0"/>
      <w:marRight w:val="0"/>
      <w:marTop w:val="0"/>
      <w:marBottom w:val="0"/>
      <w:divBdr>
        <w:top w:val="none" w:sz="0" w:space="0" w:color="auto"/>
        <w:left w:val="none" w:sz="0" w:space="0" w:color="auto"/>
        <w:bottom w:val="none" w:sz="0" w:space="0" w:color="auto"/>
        <w:right w:val="none" w:sz="0" w:space="0" w:color="auto"/>
      </w:divBdr>
    </w:div>
    <w:div w:id="580529279">
      <w:bodyDiv w:val="1"/>
      <w:marLeft w:val="0"/>
      <w:marRight w:val="0"/>
      <w:marTop w:val="0"/>
      <w:marBottom w:val="0"/>
      <w:divBdr>
        <w:top w:val="none" w:sz="0" w:space="0" w:color="auto"/>
        <w:left w:val="none" w:sz="0" w:space="0" w:color="auto"/>
        <w:bottom w:val="none" w:sz="0" w:space="0" w:color="auto"/>
        <w:right w:val="none" w:sz="0" w:space="0" w:color="auto"/>
      </w:divBdr>
    </w:div>
    <w:div w:id="581254622">
      <w:bodyDiv w:val="1"/>
      <w:marLeft w:val="0"/>
      <w:marRight w:val="0"/>
      <w:marTop w:val="0"/>
      <w:marBottom w:val="0"/>
      <w:divBdr>
        <w:top w:val="none" w:sz="0" w:space="0" w:color="auto"/>
        <w:left w:val="none" w:sz="0" w:space="0" w:color="auto"/>
        <w:bottom w:val="none" w:sz="0" w:space="0" w:color="auto"/>
        <w:right w:val="none" w:sz="0" w:space="0" w:color="auto"/>
      </w:divBdr>
    </w:div>
    <w:div w:id="603810984">
      <w:bodyDiv w:val="1"/>
      <w:marLeft w:val="0"/>
      <w:marRight w:val="0"/>
      <w:marTop w:val="0"/>
      <w:marBottom w:val="0"/>
      <w:divBdr>
        <w:top w:val="none" w:sz="0" w:space="0" w:color="auto"/>
        <w:left w:val="none" w:sz="0" w:space="0" w:color="auto"/>
        <w:bottom w:val="none" w:sz="0" w:space="0" w:color="auto"/>
        <w:right w:val="none" w:sz="0" w:space="0" w:color="auto"/>
      </w:divBdr>
    </w:div>
    <w:div w:id="619649484">
      <w:bodyDiv w:val="1"/>
      <w:marLeft w:val="0"/>
      <w:marRight w:val="0"/>
      <w:marTop w:val="0"/>
      <w:marBottom w:val="0"/>
      <w:divBdr>
        <w:top w:val="none" w:sz="0" w:space="0" w:color="auto"/>
        <w:left w:val="none" w:sz="0" w:space="0" w:color="auto"/>
        <w:bottom w:val="none" w:sz="0" w:space="0" w:color="auto"/>
        <w:right w:val="none" w:sz="0" w:space="0" w:color="auto"/>
      </w:divBdr>
    </w:div>
    <w:div w:id="629215227">
      <w:bodyDiv w:val="1"/>
      <w:marLeft w:val="0"/>
      <w:marRight w:val="0"/>
      <w:marTop w:val="0"/>
      <w:marBottom w:val="0"/>
      <w:divBdr>
        <w:top w:val="none" w:sz="0" w:space="0" w:color="auto"/>
        <w:left w:val="none" w:sz="0" w:space="0" w:color="auto"/>
        <w:bottom w:val="none" w:sz="0" w:space="0" w:color="auto"/>
        <w:right w:val="none" w:sz="0" w:space="0" w:color="auto"/>
      </w:divBdr>
    </w:div>
    <w:div w:id="640960904">
      <w:bodyDiv w:val="1"/>
      <w:marLeft w:val="0"/>
      <w:marRight w:val="0"/>
      <w:marTop w:val="0"/>
      <w:marBottom w:val="0"/>
      <w:divBdr>
        <w:top w:val="none" w:sz="0" w:space="0" w:color="auto"/>
        <w:left w:val="none" w:sz="0" w:space="0" w:color="auto"/>
        <w:bottom w:val="none" w:sz="0" w:space="0" w:color="auto"/>
        <w:right w:val="none" w:sz="0" w:space="0" w:color="auto"/>
      </w:divBdr>
    </w:div>
    <w:div w:id="691078540">
      <w:bodyDiv w:val="1"/>
      <w:marLeft w:val="0"/>
      <w:marRight w:val="0"/>
      <w:marTop w:val="0"/>
      <w:marBottom w:val="0"/>
      <w:divBdr>
        <w:top w:val="none" w:sz="0" w:space="0" w:color="auto"/>
        <w:left w:val="none" w:sz="0" w:space="0" w:color="auto"/>
        <w:bottom w:val="none" w:sz="0" w:space="0" w:color="auto"/>
        <w:right w:val="none" w:sz="0" w:space="0" w:color="auto"/>
      </w:divBdr>
    </w:div>
    <w:div w:id="707070086">
      <w:bodyDiv w:val="1"/>
      <w:marLeft w:val="0"/>
      <w:marRight w:val="0"/>
      <w:marTop w:val="0"/>
      <w:marBottom w:val="0"/>
      <w:divBdr>
        <w:top w:val="none" w:sz="0" w:space="0" w:color="auto"/>
        <w:left w:val="none" w:sz="0" w:space="0" w:color="auto"/>
        <w:bottom w:val="none" w:sz="0" w:space="0" w:color="auto"/>
        <w:right w:val="none" w:sz="0" w:space="0" w:color="auto"/>
      </w:divBdr>
    </w:div>
    <w:div w:id="713237695">
      <w:bodyDiv w:val="1"/>
      <w:marLeft w:val="0"/>
      <w:marRight w:val="0"/>
      <w:marTop w:val="0"/>
      <w:marBottom w:val="0"/>
      <w:divBdr>
        <w:top w:val="none" w:sz="0" w:space="0" w:color="auto"/>
        <w:left w:val="none" w:sz="0" w:space="0" w:color="auto"/>
        <w:bottom w:val="none" w:sz="0" w:space="0" w:color="auto"/>
        <w:right w:val="none" w:sz="0" w:space="0" w:color="auto"/>
      </w:divBdr>
    </w:div>
    <w:div w:id="719935302">
      <w:bodyDiv w:val="1"/>
      <w:marLeft w:val="0"/>
      <w:marRight w:val="0"/>
      <w:marTop w:val="0"/>
      <w:marBottom w:val="0"/>
      <w:divBdr>
        <w:top w:val="none" w:sz="0" w:space="0" w:color="auto"/>
        <w:left w:val="none" w:sz="0" w:space="0" w:color="auto"/>
        <w:bottom w:val="none" w:sz="0" w:space="0" w:color="auto"/>
        <w:right w:val="none" w:sz="0" w:space="0" w:color="auto"/>
      </w:divBdr>
    </w:div>
    <w:div w:id="767122169">
      <w:bodyDiv w:val="1"/>
      <w:marLeft w:val="0"/>
      <w:marRight w:val="0"/>
      <w:marTop w:val="0"/>
      <w:marBottom w:val="0"/>
      <w:divBdr>
        <w:top w:val="none" w:sz="0" w:space="0" w:color="auto"/>
        <w:left w:val="none" w:sz="0" w:space="0" w:color="auto"/>
        <w:bottom w:val="none" w:sz="0" w:space="0" w:color="auto"/>
        <w:right w:val="none" w:sz="0" w:space="0" w:color="auto"/>
      </w:divBdr>
    </w:div>
    <w:div w:id="771703819">
      <w:bodyDiv w:val="1"/>
      <w:marLeft w:val="0"/>
      <w:marRight w:val="0"/>
      <w:marTop w:val="0"/>
      <w:marBottom w:val="0"/>
      <w:divBdr>
        <w:top w:val="none" w:sz="0" w:space="0" w:color="auto"/>
        <w:left w:val="none" w:sz="0" w:space="0" w:color="auto"/>
        <w:bottom w:val="none" w:sz="0" w:space="0" w:color="auto"/>
        <w:right w:val="none" w:sz="0" w:space="0" w:color="auto"/>
      </w:divBdr>
    </w:div>
    <w:div w:id="779568897">
      <w:bodyDiv w:val="1"/>
      <w:marLeft w:val="0"/>
      <w:marRight w:val="0"/>
      <w:marTop w:val="0"/>
      <w:marBottom w:val="0"/>
      <w:divBdr>
        <w:top w:val="none" w:sz="0" w:space="0" w:color="auto"/>
        <w:left w:val="none" w:sz="0" w:space="0" w:color="auto"/>
        <w:bottom w:val="none" w:sz="0" w:space="0" w:color="auto"/>
        <w:right w:val="none" w:sz="0" w:space="0" w:color="auto"/>
      </w:divBdr>
    </w:div>
    <w:div w:id="788209987">
      <w:bodyDiv w:val="1"/>
      <w:marLeft w:val="0"/>
      <w:marRight w:val="0"/>
      <w:marTop w:val="0"/>
      <w:marBottom w:val="0"/>
      <w:divBdr>
        <w:top w:val="none" w:sz="0" w:space="0" w:color="auto"/>
        <w:left w:val="none" w:sz="0" w:space="0" w:color="auto"/>
        <w:bottom w:val="none" w:sz="0" w:space="0" w:color="auto"/>
        <w:right w:val="none" w:sz="0" w:space="0" w:color="auto"/>
      </w:divBdr>
    </w:div>
    <w:div w:id="862550645">
      <w:bodyDiv w:val="1"/>
      <w:marLeft w:val="0"/>
      <w:marRight w:val="0"/>
      <w:marTop w:val="0"/>
      <w:marBottom w:val="0"/>
      <w:divBdr>
        <w:top w:val="none" w:sz="0" w:space="0" w:color="auto"/>
        <w:left w:val="none" w:sz="0" w:space="0" w:color="auto"/>
        <w:bottom w:val="none" w:sz="0" w:space="0" w:color="auto"/>
        <w:right w:val="none" w:sz="0" w:space="0" w:color="auto"/>
      </w:divBdr>
    </w:div>
    <w:div w:id="870801441">
      <w:bodyDiv w:val="1"/>
      <w:marLeft w:val="0"/>
      <w:marRight w:val="0"/>
      <w:marTop w:val="0"/>
      <w:marBottom w:val="0"/>
      <w:divBdr>
        <w:top w:val="none" w:sz="0" w:space="0" w:color="auto"/>
        <w:left w:val="none" w:sz="0" w:space="0" w:color="auto"/>
        <w:bottom w:val="none" w:sz="0" w:space="0" w:color="auto"/>
        <w:right w:val="none" w:sz="0" w:space="0" w:color="auto"/>
      </w:divBdr>
    </w:div>
    <w:div w:id="874385105">
      <w:bodyDiv w:val="1"/>
      <w:marLeft w:val="0"/>
      <w:marRight w:val="0"/>
      <w:marTop w:val="0"/>
      <w:marBottom w:val="0"/>
      <w:divBdr>
        <w:top w:val="none" w:sz="0" w:space="0" w:color="auto"/>
        <w:left w:val="none" w:sz="0" w:space="0" w:color="auto"/>
        <w:bottom w:val="none" w:sz="0" w:space="0" w:color="auto"/>
        <w:right w:val="none" w:sz="0" w:space="0" w:color="auto"/>
      </w:divBdr>
    </w:div>
    <w:div w:id="964429118">
      <w:bodyDiv w:val="1"/>
      <w:marLeft w:val="0"/>
      <w:marRight w:val="0"/>
      <w:marTop w:val="0"/>
      <w:marBottom w:val="0"/>
      <w:divBdr>
        <w:top w:val="none" w:sz="0" w:space="0" w:color="auto"/>
        <w:left w:val="none" w:sz="0" w:space="0" w:color="auto"/>
        <w:bottom w:val="none" w:sz="0" w:space="0" w:color="auto"/>
        <w:right w:val="none" w:sz="0" w:space="0" w:color="auto"/>
      </w:divBdr>
    </w:div>
    <w:div w:id="969633823">
      <w:bodyDiv w:val="1"/>
      <w:marLeft w:val="0"/>
      <w:marRight w:val="0"/>
      <w:marTop w:val="0"/>
      <w:marBottom w:val="0"/>
      <w:divBdr>
        <w:top w:val="none" w:sz="0" w:space="0" w:color="auto"/>
        <w:left w:val="none" w:sz="0" w:space="0" w:color="auto"/>
        <w:bottom w:val="none" w:sz="0" w:space="0" w:color="auto"/>
        <w:right w:val="none" w:sz="0" w:space="0" w:color="auto"/>
      </w:divBdr>
    </w:div>
    <w:div w:id="994719796">
      <w:bodyDiv w:val="1"/>
      <w:marLeft w:val="0"/>
      <w:marRight w:val="0"/>
      <w:marTop w:val="0"/>
      <w:marBottom w:val="0"/>
      <w:divBdr>
        <w:top w:val="none" w:sz="0" w:space="0" w:color="auto"/>
        <w:left w:val="none" w:sz="0" w:space="0" w:color="auto"/>
        <w:bottom w:val="none" w:sz="0" w:space="0" w:color="auto"/>
        <w:right w:val="none" w:sz="0" w:space="0" w:color="auto"/>
      </w:divBdr>
    </w:div>
    <w:div w:id="1022702579">
      <w:bodyDiv w:val="1"/>
      <w:marLeft w:val="0"/>
      <w:marRight w:val="0"/>
      <w:marTop w:val="0"/>
      <w:marBottom w:val="0"/>
      <w:divBdr>
        <w:top w:val="none" w:sz="0" w:space="0" w:color="auto"/>
        <w:left w:val="none" w:sz="0" w:space="0" w:color="auto"/>
        <w:bottom w:val="none" w:sz="0" w:space="0" w:color="auto"/>
        <w:right w:val="none" w:sz="0" w:space="0" w:color="auto"/>
      </w:divBdr>
    </w:div>
    <w:div w:id="1040007610">
      <w:bodyDiv w:val="1"/>
      <w:marLeft w:val="0"/>
      <w:marRight w:val="0"/>
      <w:marTop w:val="0"/>
      <w:marBottom w:val="0"/>
      <w:divBdr>
        <w:top w:val="none" w:sz="0" w:space="0" w:color="auto"/>
        <w:left w:val="none" w:sz="0" w:space="0" w:color="auto"/>
        <w:bottom w:val="none" w:sz="0" w:space="0" w:color="auto"/>
        <w:right w:val="none" w:sz="0" w:space="0" w:color="auto"/>
      </w:divBdr>
    </w:div>
    <w:div w:id="1137407971">
      <w:bodyDiv w:val="1"/>
      <w:marLeft w:val="0"/>
      <w:marRight w:val="0"/>
      <w:marTop w:val="0"/>
      <w:marBottom w:val="0"/>
      <w:divBdr>
        <w:top w:val="none" w:sz="0" w:space="0" w:color="auto"/>
        <w:left w:val="none" w:sz="0" w:space="0" w:color="auto"/>
        <w:bottom w:val="none" w:sz="0" w:space="0" w:color="auto"/>
        <w:right w:val="none" w:sz="0" w:space="0" w:color="auto"/>
      </w:divBdr>
    </w:div>
    <w:div w:id="1167405238">
      <w:bodyDiv w:val="1"/>
      <w:marLeft w:val="0"/>
      <w:marRight w:val="0"/>
      <w:marTop w:val="0"/>
      <w:marBottom w:val="0"/>
      <w:divBdr>
        <w:top w:val="none" w:sz="0" w:space="0" w:color="auto"/>
        <w:left w:val="none" w:sz="0" w:space="0" w:color="auto"/>
        <w:bottom w:val="none" w:sz="0" w:space="0" w:color="auto"/>
        <w:right w:val="none" w:sz="0" w:space="0" w:color="auto"/>
      </w:divBdr>
      <w:divsChild>
        <w:div w:id="1920094923">
          <w:marLeft w:val="0"/>
          <w:marRight w:val="0"/>
          <w:marTop w:val="0"/>
          <w:marBottom w:val="0"/>
          <w:divBdr>
            <w:top w:val="none" w:sz="0" w:space="0" w:color="auto"/>
            <w:left w:val="none" w:sz="0" w:space="0" w:color="auto"/>
            <w:bottom w:val="none" w:sz="0" w:space="0" w:color="auto"/>
            <w:right w:val="none" w:sz="0" w:space="0" w:color="auto"/>
          </w:divBdr>
        </w:div>
      </w:divsChild>
    </w:div>
    <w:div w:id="1168254243">
      <w:bodyDiv w:val="1"/>
      <w:marLeft w:val="0"/>
      <w:marRight w:val="0"/>
      <w:marTop w:val="0"/>
      <w:marBottom w:val="0"/>
      <w:divBdr>
        <w:top w:val="none" w:sz="0" w:space="0" w:color="auto"/>
        <w:left w:val="none" w:sz="0" w:space="0" w:color="auto"/>
        <w:bottom w:val="none" w:sz="0" w:space="0" w:color="auto"/>
        <w:right w:val="none" w:sz="0" w:space="0" w:color="auto"/>
      </w:divBdr>
    </w:div>
    <w:div w:id="1201285249">
      <w:bodyDiv w:val="1"/>
      <w:marLeft w:val="0"/>
      <w:marRight w:val="0"/>
      <w:marTop w:val="0"/>
      <w:marBottom w:val="0"/>
      <w:divBdr>
        <w:top w:val="none" w:sz="0" w:space="0" w:color="auto"/>
        <w:left w:val="none" w:sz="0" w:space="0" w:color="auto"/>
        <w:bottom w:val="none" w:sz="0" w:space="0" w:color="auto"/>
        <w:right w:val="none" w:sz="0" w:space="0" w:color="auto"/>
      </w:divBdr>
    </w:div>
    <w:div w:id="1281960528">
      <w:bodyDiv w:val="1"/>
      <w:marLeft w:val="0"/>
      <w:marRight w:val="0"/>
      <w:marTop w:val="0"/>
      <w:marBottom w:val="0"/>
      <w:divBdr>
        <w:top w:val="none" w:sz="0" w:space="0" w:color="auto"/>
        <w:left w:val="none" w:sz="0" w:space="0" w:color="auto"/>
        <w:bottom w:val="none" w:sz="0" w:space="0" w:color="auto"/>
        <w:right w:val="none" w:sz="0" w:space="0" w:color="auto"/>
      </w:divBdr>
    </w:div>
    <w:div w:id="1302808210">
      <w:bodyDiv w:val="1"/>
      <w:marLeft w:val="0"/>
      <w:marRight w:val="0"/>
      <w:marTop w:val="0"/>
      <w:marBottom w:val="0"/>
      <w:divBdr>
        <w:top w:val="none" w:sz="0" w:space="0" w:color="auto"/>
        <w:left w:val="none" w:sz="0" w:space="0" w:color="auto"/>
        <w:bottom w:val="none" w:sz="0" w:space="0" w:color="auto"/>
        <w:right w:val="none" w:sz="0" w:space="0" w:color="auto"/>
      </w:divBdr>
    </w:div>
    <w:div w:id="1337227152">
      <w:bodyDiv w:val="1"/>
      <w:marLeft w:val="0"/>
      <w:marRight w:val="0"/>
      <w:marTop w:val="0"/>
      <w:marBottom w:val="0"/>
      <w:divBdr>
        <w:top w:val="none" w:sz="0" w:space="0" w:color="auto"/>
        <w:left w:val="none" w:sz="0" w:space="0" w:color="auto"/>
        <w:bottom w:val="none" w:sz="0" w:space="0" w:color="auto"/>
        <w:right w:val="none" w:sz="0" w:space="0" w:color="auto"/>
      </w:divBdr>
    </w:div>
    <w:div w:id="1340692230">
      <w:bodyDiv w:val="1"/>
      <w:marLeft w:val="0"/>
      <w:marRight w:val="0"/>
      <w:marTop w:val="0"/>
      <w:marBottom w:val="0"/>
      <w:divBdr>
        <w:top w:val="none" w:sz="0" w:space="0" w:color="auto"/>
        <w:left w:val="none" w:sz="0" w:space="0" w:color="auto"/>
        <w:bottom w:val="none" w:sz="0" w:space="0" w:color="auto"/>
        <w:right w:val="none" w:sz="0" w:space="0" w:color="auto"/>
      </w:divBdr>
    </w:div>
    <w:div w:id="1356543496">
      <w:bodyDiv w:val="1"/>
      <w:marLeft w:val="0"/>
      <w:marRight w:val="0"/>
      <w:marTop w:val="0"/>
      <w:marBottom w:val="0"/>
      <w:divBdr>
        <w:top w:val="none" w:sz="0" w:space="0" w:color="auto"/>
        <w:left w:val="none" w:sz="0" w:space="0" w:color="auto"/>
        <w:bottom w:val="none" w:sz="0" w:space="0" w:color="auto"/>
        <w:right w:val="none" w:sz="0" w:space="0" w:color="auto"/>
      </w:divBdr>
    </w:div>
    <w:div w:id="1508519798">
      <w:bodyDiv w:val="1"/>
      <w:marLeft w:val="0"/>
      <w:marRight w:val="0"/>
      <w:marTop w:val="0"/>
      <w:marBottom w:val="0"/>
      <w:divBdr>
        <w:top w:val="none" w:sz="0" w:space="0" w:color="auto"/>
        <w:left w:val="none" w:sz="0" w:space="0" w:color="auto"/>
        <w:bottom w:val="none" w:sz="0" w:space="0" w:color="auto"/>
        <w:right w:val="none" w:sz="0" w:space="0" w:color="auto"/>
      </w:divBdr>
    </w:div>
    <w:div w:id="1517116373">
      <w:bodyDiv w:val="1"/>
      <w:marLeft w:val="0"/>
      <w:marRight w:val="0"/>
      <w:marTop w:val="0"/>
      <w:marBottom w:val="0"/>
      <w:divBdr>
        <w:top w:val="none" w:sz="0" w:space="0" w:color="auto"/>
        <w:left w:val="none" w:sz="0" w:space="0" w:color="auto"/>
        <w:bottom w:val="none" w:sz="0" w:space="0" w:color="auto"/>
        <w:right w:val="none" w:sz="0" w:space="0" w:color="auto"/>
      </w:divBdr>
    </w:div>
    <w:div w:id="1539392483">
      <w:bodyDiv w:val="1"/>
      <w:marLeft w:val="0"/>
      <w:marRight w:val="0"/>
      <w:marTop w:val="0"/>
      <w:marBottom w:val="0"/>
      <w:divBdr>
        <w:top w:val="none" w:sz="0" w:space="0" w:color="auto"/>
        <w:left w:val="none" w:sz="0" w:space="0" w:color="auto"/>
        <w:bottom w:val="none" w:sz="0" w:space="0" w:color="auto"/>
        <w:right w:val="none" w:sz="0" w:space="0" w:color="auto"/>
      </w:divBdr>
    </w:div>
    <w:div w:id="1553232942">
      <w:bodyDiv w:val="1"/>
      <w:marLeft w:val="0"/>
      <w:marRight w:val="0"/>
      <w:marTop w:val="0"/>
      <w:marBottom w:val="0"/>
      <w:divBdr>
        <w:top w:val="none" w:sz="0" w:space="0" w:color="auto"/>
        <w:left w:val="none" w:sz="0" w:space="0" w:color="auto"/>
        <w:bottom w:val="none" w:sz="0" w:space="0" w:color="auto"/>
        <w:right w:val="none" w:sz="0" w:space="0" w:color="auto"/>
      </w:divBdr>
    </w:div>
    <w:div w:id="1553539274">
      <w:bodyDiv w:val="1"/>
      <w:marLeft w:val="0"/>
      <w:marRight w:val="0"/>
      <w:marTop w:val="0"/>
      <w:marBottom w:val="0"/>
      <w:divBdr>
        <w:top w:val="none" w:sz="0" w:space="0" w:color="auto"/>
        <w:left w:val="none" w:sz="0" w:space="0" w:color="auto"/>
        <w:bottom w:val="none" w:sz="0" w:space="0" w:color="auto"/>
        <w:right w:val="none" w:sz="0" w:space="0" w:color="auto"/>
      </w:divBdr>
    </w:div>
    <w:div w:id="1561407458">
      <w:bodyDiv w:val="1"/>
      <w:marLeft w:val="0"/>
      <w:marRight w:val="0"/>
      <w:marTop w:val="0"/>
      <w:marBottom w:val="0"/>
      <w:divBdr>
        <w:top w:val="none" w:sz="0" w:space="0" w:color="auto"/>
        <w:left w:val="none" w:sz="0" w:space="0" w:color="auto"/>
        <w:bottom w:val="none" w:sz="0" w:space="0" w:color="auto"/>
        <w:right w:val="none" w:sz="0" w:space="0" w:color="auto"/>
      </w:divBdr>
    </w:div>
    <w:div w:id="1578245643">
      <w:bodyDiv w:val="1"/>
      <w:marLeft w:val="0"/>
      <w:marRight w:val="0"/>
      <w:marTop w:val="0"/>
      <w:marBottom w:val="0"/>
      <w:divBdr>
        <w:top w:val="none" w:sz="0" w:space="0" w:color="auto"/>
        <w:left w:val="none" w:sz="0" w:space="0" w:color="auto"/>
        <w:bottom w:val="none" w:sz="0" w:space="0" w:color="auto"/>
        <w:right w:val="none" w:sz="0" w:space="0" w:color="auto"/>
      </w:divBdr>
    </w:div>
    <w:div w:id="1581518968">
      <w:bodyDiv w:val="1"/>
      <w:marLeft w:val="0"/>
      <w:marRight w:val="0"/>
      <w:marTop w:val="0"/>
      <w:marBottom w:val="0"/>
      <w:divBdr>
        <w:top w:val="none" w:sz="0" w:space="0" w:color="auto"/>
        <w:left w:val="none" w:sz="0" w:space="0" w:color="auto"/>
        <w:bottom w:val="none" w:sz="0" w:space="0" w:color="auto"/>
        <w:right w:val="none" w:sz="0" w:space="0" w:color="auto"/>
      </w:divBdr>
      <w:divsChild>
        <w:div w:id="431053115">
          <w:marLeft w:val="0"/>
          <w:marRight w:val="0"/>
          <w:marTop w:val="0"/>
          <w:marBottom w:val="0"/>
          <w:divBdr>
            <w:top w:val="none" w:sz="0" w:space="0" w:color="auto"/>
            <w:left w:val="none" w:sz="0" w:space="0" w:color="auto"/>
            <w:bottom w:val="none" w:sz="0" w:space="0" w:color="auto"/>
            <w:right w:val="none" w:sz="0" w:space="0" w:color="auto"/>
          </w:divBdr>
          <w:divsChild>
            <w:div w:id="958876494">
              <w:marLeft w:val="0"/>
              <w:marRight w:val="0"/>
              <w:marTop w:val="0"/>
              <w:marBottom w:val="0"/>
              <w:divBdr>
                <w:top w:val="none" w:sz="0" w:space="0" w:color="auto"/>
                <w:left w:val="none" w:sz="0" w:space="0" w:color="auto"/>
                <w:bottom w:val="none" w:sz="0" w:space="0" w:color="auto"/>
                <w:right w:val="none" w:sz="0" w:space="0" w:color="auto"/>
              </w:divBdr>
              <w:divsChild>
                <w:div w:id="1054160110">
                  <w:marLeft w:val="0"/>
                  <w:marRight w:val="0"/>
                  <w:marTop w:val="0"/>
                  <w:marBottom w:val="0"/>
                  <w:divBdr>
                    <w:top w:val="none" w:sz="0" w:space="0" w:color="auto"/>
                    <w:left w:val="none" w:sz="0" w:space="0" w:color="auto"/>
                    <w:bottom w:val="none" w:sz="0" w:space="0" w:color="auto"/>
                    <w:right w:val="none" w:sz="0" w:space="0" w:color="auto"/>
                  </w:divBdr>
                  <w:divsChild>
                    <w:div w:id="106631064">
                      <w:marLeft w:val="0"/>
                      <w:marRight w:val="0"/>
                      <w:marTop w:val="0"/>
                      <w:marBottom w:val="0"/>
                      <w:divBdr>
                        <w:top w:val="none" w:sz="0" w:space="0" w:color="auto"/>
                        <w:left w:val="none" w:sz="0" w:space="0" w:color="auto"/>
                        <w:bottom w:val="none" w:sz="0" w:space="0" w:color="auto"/>
                        <w:right w:val="none" w:sz="0" w:space="0" w:color="auto"/>
                      </w:divBdr>
                      <w:divsChild>
                        <w:div w:id="30883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488022">
      <w:bodyDiv w:val="1"/>
      <w:marLeft w:val="0"/>
      <w:marRight w:val="0"/>
      <w:marTop w:val="0"/>
      <w:marBottom w:val="0"/>
      <w:divBdr>
        <w:top w:val="none" w:sz="0" w:space="0" w:color="auto"/>
        <w:left w:val="none" w:sz="0" w:space="0" w:color="auto"/>
        <w:bottom w:val="none" w:sz="0" w:space="0" w:color="auto"/>
        <w:right w:val="none" w:sz="0" w:space="0" w:color="auto"/>
      </w:divBdr>
    </w:div>
    <w:div w:id="1630240329">
      <w:bodyDiv w:val="1"/>
      <w:marLeft w:val="0"/>
      <w:marRight w:val="0"/>
      <w:marTop w:val="0"/>
      <w:marBottom w:val="0"/>
      <w:divBdr>
        <w:top w:val="none" w:sz="0" w:space="0" w:color="auto"/>
        <w:left w:val="none" w:sz="0" w:space="0" w:color="auto"/>
        <w:bottom w:val="none" w:sz="0" w:space="0" w:color="auto"/>
        <w:right w:val="none" w:sz="0" w:space="0" w:color="auto"/>
      </w:divBdr>
    </w:div>
    <w:div w:id="1694377775">
      <w:bodyDiv w:val="1"/>
      <w:marLeft w:val="0"/>
      <w:marRight w:val="0"/>
      <w:marTop w:val="0"/>
      <w:marBottom w:val="0"/>
      <w:divBdr>
        <w:top w:val="none" w:sz="0" w:space="0" w:color="auto"/>
        <w:left w:val="none" w:sz="0" w:space="0" w:color="auto"/>
        <w:bottom w:val="none" w:sz="0" w:space="0" w:color="auto"/>
        <w:right w:val="none" w:sz="0" w:space="0" w:color="auto"/>
      </w:divBdr>
    </w:div>
    <w:div w:id="1695690475">
      <w:bodyDiv w:val="1"/>
      <w:marLeft w:val="0"/>
      <w:marRight w:val="0"/>
      <w:marTop w:val="0"/>
      <w:marBottom w:val="0"/>
      <w:divBdr>
        <w:top w:val="none" w:sz="0" w:space="0" w:color="auto"/>
        <w:left w:val="none" w:sz="0" w:space="0" w:color="auto"/>
        <w:bottom w:val="none" w:sz="0" w:space="0" w:color="auto"/>
        <w:right w:val="none" w:sz="0" w:space="0" w:color="auto"/>
      </w:divBdr>
    </w:div>
    <w:div w:id="1735278283">
      <w:bodyDiv w:val="1"/>
      <w:marLeft w:val="0"/>
      <w:marRight w:val="0"/>
      <w:marTop w:val="0"/>
      <w:marBottom w:val="0"/>
      <w:divBdr>
        <w:top w:val="none" w:sz="0" w:space="0" w:color="auto"/>
        <w:left w:val="none" w:sz="0" w:space="0" w:color="auto"/>
        <w:bottom w:val="none" w:sz="0" w:space="0" w:color="auto"/>
        <w:right w:val="none" w:sz="0" w:space="0" w:color="auto"/>
      </w:divBdr>
    </w:div>
    <w:div w:id="1735931152">
      <w:bodyDiv w:val="1"/>
      <w:marLeft w:val="0"/>
      <w:marRight w:val="0"/>
      <w:marTop w:val="0"/>
      <w:marBottom w:val="0"/>
      <w:divBdr>
        <w:top w:val="none" w:sz="0" w:space="0" w:color="auto"/>
        <w:left w:val="none" w:sz="0" w:space="0" w:color="auto"/>
        <w:bottom w:val="none" w:sz="0" w:space="0" w:color="auto"/>
        <w:right w:val="none" w:sz="0" w:space="0" w:color="auto"/>
      </w:divBdr>
    </w:div>
    <w:div w:id="1783258454">
      <w:bodyDiv w:val="1"/>
      <w:marLeft w:val="0"/>
      <w:marRight w:val="0"/>
      <w:marTop w:val="0"/>
      <w:marBottom w:val="0"/>
      <w:divBdr>
        <w:top w:val="none" w:sz="0" w:space="0" w:color="auto"/>
        <w:left w:val="none" w:sz="0" w:space="0" w:color="auto"/>
        <w:bottom w:val="none" w:sz="0" w:space="0" w:color="auto"/>
        <w:right w:val="none" w:sz="0" w:space="0" w:color="auto"/>
      </w:divBdr>
    </w:div>
    <w:div w:id="1788886901">
      <w:bodyDiv w:val="1"/>
      <w:marLeft w:val="0"/>
      <w:marRight w:val="0"/>
      <w:marTop w:val="0"/>
      <w:marBottom w:val="0"/>
      <w:divBdr>
        <w:top w:val="none" w:sz="0" w:space="0" w:color="auto"/>
        <w:left w:val="none" w:sz="0" w:space="0" w:color="auto"/>
        <w:bottom w:val="none" w:sz="0" w:space="0" w:color="auto"/>
        <w:right w:val="none" w:sz="0" w:space="0" w:color="auto"/>
      </w:divBdr>
    </w:div>
    <w:div w:id="1899439198">
      <w:bodyDiv w:val="1"/>
      <w:marLeft w:val="0"/>
      <w:marRight w:val="0"/>
      <w:marTop w:val="0"/>
      <w:marBottom w:val="0"/>
      <w:divBdr>
        <w:top w:val="none" w:sz="0" w:space="0" w:color="auto"/>
        <w:left w:val="none" w:sz="0" w:space="0" w:color="auto"/>
        <w:bottom w:val="none" w:sz="0" w:space="0" w:color="auto"/>
        <w:right w:val="none" w:sz="0" w:space="0" w:color="auto"/>
      </w:divBdr>
    </w:div>
    <w:div w:id="1920603325">
      <w:bodyDiv w:val="1"/>
      <w:marLeft w:val="0"/>
      <w:marRight w:val="0"/>
      <w:marTop w:val="0"/>
      <w:marBottom w:val="0"/>
      <w:divBdr>
        <w:top w:val="none" w:sz="0" w:space="0" w:color="auto"/>
        <w:left w:val="none" w:sz="0" w:space="0" w:color="auto"/>
        <w:bottom w:val="none" w:sz="0" w:space="0" w:color="auto"/>
        <w:right w:val="none" w:sz="0" w:space="0" w:color="auto"/>
      </w:divBdr>
    </w:div>
    <w:div w:id="1921257992">
      <w:bodyDiv w:val="1"/>
      <w:marLeft w:val="0"/>
      <w:marRight w:val="0"/>
      <w:marTop w:val="0"/>
      <w:marBottom w:val="0"/>
      <w:divBdr>
        <w:top w:val="none" w:sz="0" w:space="0" w:color="auto"/>
        <w:left w:val="none" w:sz="0" w:space="0" w:color="auto"/>
        <w:bottom w:val="none" w:sz="0" w:space="0" w:color="auto"/>
        <w:right w:val="none" w:sz="0" w:space="0" w:color="auto"/>
      </w:divBdr>
    </w:div>
    <w:div w:id="1928340577">
      <w:bodyDiv w:val="1"/>
      <w:marLeft w:val="0"/>
      <w:marRight w:val="0"/>
      <w:marTop w:val="0"/>
      <w:marBottom w:val="0"/>
      <w:divBdr>
        <w:top w:val="none" w:sz="0" w:space="0" w:color="auto"/>
        <w:left w:val="none" w:sz="0" w:space="0" w:color="auto"/>
        <w:bottom w:val="none" w:sz="0" w:space="0" w:color="auto"/>
        <w:right w:val="none" w:sz="0" w:space="0" w:color="auto"/>
      </w:divBdr>
    </w:div>
    <w:div w:id="1962223963">
      <w:bodyDiv w:val="1"/>
      <w:marLeft w:val="0"/>
      <w:marRight w:val="0"/>
      <w:marTop w:val="0"/>
      <w:marBottom w:val="0"/>
      <w:divBdr>
        <w:top w:val="none" w:sz="0" w:space="0" w:color="auto"/>
        <w:left w:val="none" w:sz="0" w:space="0" w:color="auto"/>
        <w:bottom w:val="none" w:sz="0" w:space="0" w:color="auto"/>
        <w:right w:val="none" w:sz="0" w:space="0" w:color="auto"/>
      </w:divBdr>
    </w:div>
    <w:div w:id="1995602682">
      <w:bodyDiv w:val="1"/>
      <w:marLeft w:val="0"/>
      <w:marRight w:val="0"/>
      <w:marTop w:val="0"/>
      <w:marBottom w:val="0"/>
      <w:divBdr>
        <w:top w:val="none" w:sz="0" w:space="0" w:color="auto"/>
        <w:left w:val="none" w:sz="0" w:space="0" w:color="auto"/>
        <w:bottom w:val="none" w:sz="0" w:space="0" w:color="auto"/>
        <w:right w:val="none" w:sz="0" w:space="0" w:color="auto"/>
      </w:divBdr>
    </w:div>
    <w:div w:id="2093307902">
      <w:bodyDiv w:val="1"/>
      <w:marLeft w:val="0"/>
      <w:marRight w:val="0"/>
      <w:marTop w:val="0"/>
      <w:marBottom w:val="0"/>
      <w:divBdr>
        <w:top w:val="none" w:sz="0" w:space="0" w:color="auto"/>
        <w:left w:val="none" w:sz="0" w:space="0" w:color="auto"/>
        <w:bottom w:val="none" w:sz="0" w:space="0" w:color="auto"/>
        <w:right w:val="none" w:sz="0" w:space="0" w:color="auto"/>
      </w:divBdr>
      <w:divsChild>
        <w:div w:id="14262659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9.jpeg"/></Relationships>
</file>

<file path=word/_rels/header2.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31A5A66BD3F204FBCA5FF041CE345C5" ma:contentTypeVersion="18" ma:contentTypeDescription="Crear nuevo documento." ma:contentTypeScope="" ma:versionID="9112330ff97e27b6f0a9cd786b8f108e">
  <xsd:schema xmlns:xsd="http://www.w3.org/2001/XMLSchema" xmlns:xs="http://www.w3.org/2001/XMLSchema" xmlns:p="http://schemas.microsoft.com/office/2006/metadata/properties" xmlns:ns2="d08ec9e0-fc31-4fe3-bedd-a14f5f65596c" xmlns:ns3="79dfaaf5-d963-400d-bf29-9d771b625e66" targetNamespace="http://schemas.microsoft.com/office/2006/metadata/properties" ma:root="true" ma:fieldsID="c0a42e3f72a0ac306bf9b11fc6a9630e" ns2:_="" ns3:_="">
    <xsd:import namespace="d08ec9e0-fc31-4fe3-bedd-a14f5f65596c"/>
    <xsd:import namespace="79dfaaf5-d963-400d-bf29-9d771b625e66"/>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ec9e0-fc31-4fe3-bedd-a14f5f6559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dfaaf5-d963-400d-bf29-9d771b625e66"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3a14acef-1c62-41fb-9d24-7defe370009d}" ma:internalName="TaxCatchAll" ma:showField="CatchAllData" ma:web="79dfaaf5-d963-400d-bf29-9d771b625e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9dfaaf5-d963-400d-bf29-9d771b625e66" xsi:nil="true"/>
    <lcf76f155ced4ddcb4097134ff3c332f xmlns="d08ec9e0-fc31-4fe3-bedd-a14f5f65596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215F98-1723-4B11-93B7-3DFD8CE2AAA5}">
  <ds:schemaRefs>
    <ds:schemaRef ds:uri="http://schemas.openxmlformats.org/officeDocument/2006/bibliography"/>
  </ds:schemaRefs>
</ds:datastoreItem>
</file>

<file path=customXml/itemProps2.xml><?xml version="1.0" encoding="utf-8"?>
<ds:datastoreItem xmlns:ds="http://schemas.openxmlformats.org/officeDocument/2006/customXml" ds:itemID="{AA72A253-047B-4FB0-90D4-2B4D99555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8ec9e0-fc31-4fe3-bedd-a14f5f65596c"/>
    <ds:schemaRef ds:uri="79dfaaf5-d963-400d-bf29-9d771b625e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0D7941-8188-47CE-9883-1326BCA73257}">
  <ds:schemaRefs>
    <ds:schemaRef ds:uri="http://schemas.microsoft.com/office/2006/metadata/properties"/>
    <ds:schemaRef ds:uri="http://schemas.microsoft.com/office/infopath/2007/PartnerControls"/>
    <ds:schemaRef ds:uri="79dfaaf5-d963-400d-bf29-9d771b625e66"/>
    <ds:schemaRef ds:uri="d08ec9e0-fc31-4fe3-bedd-a14f5f65596c"/>
  </ds:schemaRefs>
</ds:datastoreItem>
</file>

<file path=customXml/itemProps4.xml><?xml version="1.0" encoding="utf-8"?>
<ds:datastoreItem xmlns:ds="http://schemas.openxmlformats.org/officeDocument/2006/customXml" ds:itemID="{A9D38F1A-EE97-4514-8272-A02844C6C7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29</Pages>
  <Words>15572</Words>
  <Characters>85649</Characters>
  <Application>Microsoft Office Word</Application>
  <DocSecurity>0</DocSecurity>
  <Lines>713</Lines>
  <Paragraphs>202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Néstor Julián Sácipa Lozano</dc:creator>
  <cp:keywords/>
  <dc:description/>
  <cp:lastModifiedBy>Paola Andrea Ruiz González</cp:lastModifiedBy>
  <cp:revision>141</cp:revision>
  <dcterms:created xsi:type="dcterms:W3CDTF">2025-03-13T16:41:00Z</dcterms:created>
  <dcterms:modified xsi:type="dcterms:W3CDTF">2025-03-17T03:22:00Z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0x010100431A5A66BD3F204FBCA5FF041CE345C5</vt:lpwstr>
  </property>
  <property fmtid="{D5CDD505-2E9C-101B-9397-08002B2CF9AE}" pid="3" name="MediaServiceImageTags">
    <vt:lpwstr/>
  </property>
</Properties>
</file>